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3B2C"/>
          <w:sz w:val="32"/>
          <w:szCs w:val="32"/>
        </w:rPr>
        <w:t xml:space="preserve">WELL KEPT</w:t>
      </w:r>
    </w:p>
    <w:p>
      <w:pPr>
        <w:spacing w:after="40"/>
        <w:jc w:val="center"/>
      </w:pPr>
      <w:r>
        <w:rPr>
          <w:b/>
          <w:bCs/>
          <w:sz w:val="28"/>
          <w:szCs w:val="28"/>
        </w:rPr>
        <w:t xml:space="preserve">WK-SOP-030 Addendum A, Part Two: The Grid Elsewhere</w:t>
      </w:r>
    </w:p>
    <w:p>
      <w:pPr>
        <w:spacing w:after="80"/>
        <w:jc w:val="center"/>
      </w:pPr>
      <w:r>
        <w:rPr>
          <w:i/>
          <w:iCs/>
          <w:sz w:val="22"/>
          <w:szCs w:val="22"/>
        </w:rPr>
        <w:t xml:space="preserve">IS, MIGHT, COULD, SHOULD applied beyond the calendar</w:t>
      </w:r>
    </w:p>
    <w:p>
      <w:pPr>
        <w:spacing w:after="60"/>
        <w:jc w:val="center"/>
      </w:pPr>
      <w:r>
        <w:rPr>
          <w:i/>
          <w:iCs/>
          <w:color w:val="555555"/>
          <w:sz w:val="18"/>
          <w:szCs w:val="18"/>
        </w:rPr>
        <w:t xml:space="preserve">Version 1.0 ADOPTED by founder ruling, 2 August 2026 (A121) | Owner: Rachel Letters, CEO</w:t>
      </w:r>
    </w:p>
    <w:p>
      <w:pPr>
        <w:pBdr>
          <w:bottom w:val="single" w:color="1F3B2C" w:sz="6" w:space="1"/>
        </w:pBdr>
        <w:spacing w:after="120" w:before="120"/>
      </w:pPr>
      <w:r>
        <w:rPr>
          <w:sz w:val="22"/>
          <w:szCs w:val="22"/>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5F1E8" w:color="auto" w:val="clear"/>
            <w:tcMar>
              <w:top w:type="dxa" w:w="180"/>
              <w:left w:type="dxa" w:w="220"/>
              <w:bottom w:type="dxa" w:w="180"/>
              <w:right w:type="dxa" w:w="220"/>
            </w:tcMar>
          </w:tcPr>
          <w:p>
            <w:pPr>
              <w:spacing w:after="110"/>
              <w:jc w:val="left"/>
            </w:pPr>
            <w:r>
              <w:rPr>
                <w:i/>
                <w:iCs/>
                <w:sz w:val="22"/>
                <w:szCs w:val="22"/>
              </w:rPr>
              <w:t xml:space="preserve">The grid is not a calendar technique; it is the house epistemology: state what is committed, mark what is forecast, bound what is feared, and always end in action. The company already speaks it in three dialects, field provenance's asked, observed and expected; the model's plan of record against its sensitivity tables; the code's calibrated against default. Part Two names the unification and the domains where the grid applies, and the two rules that keep it from becoming wallpaper.</w:t>
            </w:r>
          </w:p>
        </w:tc>
      </w:tr>
    </w:tbl>
    <w:p>
      <w:pPr>
        <w:spacing w:after="110"/>
        <w:jc w:val="left"/>
      </w:pPr>
      <w:r>
        <w:rPr>
          <w:sz w:val="22"/>
          <w:szCs w:val="22"/>
        </w:rPr>
        <w:t xml:space="preserve"/>
      </w:r>
    </w:p>
    <w:p>
      <w:pPr>
        <w:spacing w:after="80" w:before="220"/>
      </w:pPr>
      <w:r>
        <w:rPr>
          <w:b/>
          <w:bCs/>
          <w:color w:val="1F3B2C"/>
          <w:sz w:val="24"/>
          <w:szCs w:val="24"/>
        </w:rPr>
        <w:t xml:space="preserve">1. Seven domains</w:t>
      </w:r>
    </w:p>
    <w:p>
      <w:pPr>
        <w:pStyle w:val="ListParagraph"/>
        <w:numPr>
          <w:ilvl w:val="0"/>
          <w:numId w:val="1"/>
        </w:numPr>
        <w:spacing w:after="70"/>
      </w:pPr>
      <w:r>
        <w:rPr>
          <w:b/>
          <w:bCs/>
          <w:sz w:val="22"/>
          <w:szCs w:val="22"/>
        </w:rPr>
        <w:t xml:space="preserve">The household one-pager. </w:t>
      </w:r>
      <w:r>
        <w:rPr>
          <w:sz w:val="22"/>
          <w:szCs w:val="22"/>
        </w:rPr>
        <w:t xml:space="preserve">IS the record at asked-and-observed provenance; MIGHT the household's social-horizon page; COULD their watch margin, renewal windows, churn triggers, accumulating patterns; SHOULD their queue, the backlog awaiting the travel valley, the aspiration in motion, the cutoff to confirm. The quarterly review is this grid read aloud with the member, and the template in the companion document is the meeting's agenda.</w:t>
      </w:r>
    </w:p>
    <w:p>
      <w:pPr>
        <w:pStyle w:val="ListParagraph"/>
        <w:numPr>
          <w:ilvl w:val="0"/>
          <w:numId w:val="1"/>
        </w:numPr>
        <w:spacing w:after="70"/>
      </w:pPr>
      <w:r>
        <w:rPr>
          <w:b/>
          <w:bCs/>
          <w:sz w:val="22"/>
          <w:szCs w:val="22"/>
        </w:rPr>
        <w:t xml:space="preserve">The staffing roster. </w:t>
      </w:r>
      <w:r>
        <w:rPr>
          <w:sz w:val="22"/>
          <w:szCs w:val="22"/>
        </w:rPr>
        <w:t xml:space="preserve">IS the roster, PTO and load; MIGHT the turnover probability and the hiring curve; COULD the flight risk, the call-out on a fragile week, the December math; SHOULD the bench kept warm, the requisition opened early, the ramp book ready, the PTO-to-valley alignment negotiated in October. The load cap lives in COULD; the rebalancing it forces lives in SHOULD.</w:t>
      </w:r>
    </w:p>
    <w:p>
      <w:pPr>
        <w:pStyle w:val="ListParagraph"/>
        <w:numPr>
          <w:ilvl w:val="0"/>
          <w:numId w:val="1"/>
        </w:numPr>
        <w:spacing w:after="70"/>
      </w:pPr>
      <w:r>
        <w:rPr>
          <w:b/>
          <w:bCs/>
          <w:sz w:val="22"/>
          <w:szCs w:val="22"/>
        </w:rPr>
        <w:t xml:space="preserve">The model and the lender narrative. </w:t>
      </w:r>
      <w:r>
        <w:rPr>
          <w:sz w:val="22"/>
          <w:szCs w:val="22"/>
        </w:rPr>
        <w:t xml:space="preserve">IS contracted revenue and executed locks; MIGHT the plan of record and its uncalibrated coefficients; COULD the sensitivity tables, which are this lane formalized; SHOULD the milestone triggers written into the plan. Presenting in these lanes is itself the credibility move: a banker who sees committed, forecast and stressed cleanly separated, with decision rules pre-stated, is reading a company that knows the difference. The September lender-narrative pass makes this explicit.</w:t>
      </w:r>
    </w:p>
    <w:p>
      <w:pPr>
        <w:pStyle w:val="ListParagraph"/>
        <w:numPr>
          <w:ilvl w:val="0"/>
          <w:numId w:val="1"/>
        </w:numPr>
        <w:spacing w:after="70"/>
      </w:pPr>
      <w:r>
        <w:rPr>
          <w:b/>
          <w:bCs/>
          <w:sz w:val="22"/>
          <w:szCs w:val="22"/>
        </w:rPr>
        <w:t xml:space="preserve">The measurement register. </w:t>
      </w:r>
      <w:r>
        <w:rPr>
          <w:sz w:val="22"/>
          <w:szCs w:val="22"/>
        </w:rPr>
        <w:t xml:space="preserve">Every WK-QA-019 assumption is a four-lane row: measured, default under test, the variance band that forces restatement, and the gated decision with its dated register entry. The pilot, described honestly, is a machine for moving coefficients from MIGHT to IS; the companion document reformats M-19 through M-24 accordingly.</w:t>
      </w:r>
    </w:p>
    <w:p>
      <w:pPr>
        <w:pStyle w:val="ListParagraph"/>
        <w:numPr>
          <w:ilvl w:val="0"/>
          <w:numId w:val="1"/>
        </w:numPr>
        <w:spacing w:after="70"/>
      </w:pPr>
      <w:r>
        <w:rPr>
          <w:b/>
          <w:bCs/>
          <w:sz w:val="22"/>
          <w:szCs w:val="22"/>
        </w:rPr>
        <w:t xml:space="preserve">Growth and the founding pipeline. </w:t>
      </w:r>
      <w:r>
        <w:rPr>
          <w:sz w:val="22"/>
          <w:szCs w:val="22"/>
        </w:rPr>
        <w:t xml:space="preserve">IS signed households; MIGHT warm intents and the second cohort's shape; COULD the stalled conversation and the market shift touching the rate decision; SHOULD the conversations scheduled, the screens run, and the declines made on schedule, the fit standard being a SHOULD-lane discipline by construction.</w:t>
      </w:r>
    </w:p>
    <w:p>
      <w:pPr>
        <w:pStyle w:val="ListParagraph"/>
        <w:numPr>
          <w:ilvl w:val="0"/>
          <w:numId w:val="1"/>
        </w:numPr>
        <w:spacing w:after="70"/>
      </w:pPr>
      <w:r>
        <w:rPr>
          <w:b/>
          <w:bCs/>
          <w:sz w:val="22"/>
          <w:szCs w:val="22"/>
        </w:rPr>
        <w:t xml:space="preserve">Legal and compliance. </w:t>
      </w:r>
      <w:r>
        <w:rPr>
          <w:sz w:val="22"/>
          <w:szCs w:val="22"/>
        </w:rPr>
        <w:t xml:space="preserve">IS filings and executed agreements; MIGHT the scheduled clocks, BOI, the 83(b), the dual-path operating agreement due before the founding membership agreement; COULD the regulatory shifts and the District's law waiting in Era Two; SHOULD the counsel calendar, which is why the revision calendar works: it was already this lane.</w:t>
      </w:r>
    </w:p>
    <w:p>
      <w:pPr>
        <w:pStyle w:val="ListParagraph"/>
        <w:numPr>
          <w:ilvl w:val="0"/>
          <w:numId w:val="1"/>
        </w:numPr>
        <w:spacing w:after="70"/>
      </w:pPr>
      <w:r>
        <w:rPr>
          <w:b/>
          <w:bCs/>
          <w:sz w:val="22"/>
          <w:szCs w:val="22"/>
        </w:rPr>
        <w:t xml:space="preserve">The software queue. </w:t>
      </w:r>
      <w:r>
        <w:rPr>
          <w:sz w:val="22"/>
          <w:szCs w:val="22"/>
        </w:rPr>
        <w:t xml:space="preserve">IS shipped and serving; MIGHT the provisional-marker regime and the queued sessions; COULD the post-AR candidates and the durability seams built for unchosen futures; SHOULD the commissioning brief. The code package and the corporate calendar are the same discipline in two media.</w:t>
      </w:r>
    </w:p>
    <w:p>
      <w:pPr>
        <w:spacing w:after="80" w:before="220"/>
      </w:pPr>
      <w:r>
        <w:rPr>
          <w:b/>
          <w:bCs/>
          <w:color w:val="1F3B2C"/>
          <w:sz w:val="24"/>
          <w:szCs w:val="24"/>
        </w:rPr>
        <w:t xml:space="preserve">2. The two rules</w:t>
      </w:r>
    </w:p>
    <w:p>
      <w:pPr>
        <w:pStyle w:val="ListParagraph"/>
        <w:numPr>
          <w:ilvl w:val="0"/>
          <w:numId w:val="1"/>
        </w:numPr>
        <w:spacing w:after="70"/>
      </w:pPr>
      <w:r>
        <w:rPr>
          <w:b/>
          <w:bCs/>
          <w:sz w:val="22"/>
          <w:szCs w:val="22"/>
        </w:rPr>
        <w:t xml:space="preserve">The grid applies only where a view produces decisions. </w:t>
      </w:r>
      <w:r>
        <w:rPr>
          <w:sz w:val="22"/>
          <w:szCs w:val="22"/>
        </w:rPr>
        <w:t xml:space="preserve">It is a decision instrument, not a documentation format; a document that gains four lanes without gaining an action queue has gained nothing. Vendor files, training materials and the standards themselves are IS by nature and stay laneless.</w:t>
      </w:r>
    </w:p>
    <w:p>
      <w:pPr>
        <w:pStyle w:val="ListParagraph"/>
        <w:numPr>
          <w:ilvl w:val="0"/>
          <w:numId w:val="1"/>
        </w:numPr>
        <w:spacing w:after="70"/>
      </w:pPr>
      <w:r>
        <w:rPr>
          <w:b/>
          <w:bCs/>
          <w:sz w:val="22"/>
          <w:szCs w:val="22"/>
        </w:rPr>
        <w:t xml:space="preserve">The SHOULD cap travels everywhere. </w:t>
      </w:r>
      <w:r>
        <w:rPr>
          <w:sz w:val="22"/>
          <w:szCs w:val="22"/>
        </w:rPr>
        <w:t xml:space="preserve">Every domain's queue is short, cleared or consciously deferred, carryover visible. The roster's queue, the pipeline's queue and the counsel calendar obey the same anti-noise rule as the Friday week sheet, because an ignored queue is worse than none in every domain equally.</w:t>
      </w:r>
    </w:p>
    <w:p>
      <w:pPr>
        <w:spacing w:after="80" w:before="220"/>
      </w:pPr>
      <w:r>
        <w:rPr>
          <w:b/>
          <w:bCs/>
          <w:color w:val="1F3B2C"/>
          <w:sz w:val="24"/>
          <w:szCs w:val="24"/>
        </w:rPr>
        <w:t xml:space="preserve">3. The unification, recorded</w:t>
      </w:r>
    </w:p>
    <w:p>
      <w:pPr>
        <w:spacing w:after="110"/>
        <w:jc w:val="left"/>
      </w:pPr>
      <w:r>
        <w:rPr>
          <w:sz w:val="22"/>
          <w:szCs w:val="22"/>
        </w:rPr>
        <w:t xml:space="preserve">Asked, observed and expected; plan of record and sensitivity; calibrated and default; IS, MIGHT and COULD. One epistemology, four dialects, and SHOULD is what all four exist to produce. The succession arc itself is the grid at twenty-year scale: the dual-path structure as IS, the unweighted paths as MIGHT, the foreclosing scenarios as COULD, and the keep-options disciplines as SHOULD, which is evidence the framework scales in time as well as in domain.</w:t>
      </w:r>
    </w:p>
    <w:p>
      <w:pPr>
        <w:pBdr>
          <w:bottom w:val="single" w:color="1F3B2C" w:sz="6" w:space="1"/>
        </w:pBdr>
        <w:spacing w:after="120" w:before="120"/>
      </w:pPr>
      <w:r>
        <w:rPr>
          <w:sz w:val="22"/>
          <w:szCs w:val="22"/>
        </w:rPr>
        <w:t xml:space="preserve"/>
      </w:r>
    </w:p>
    <w:p>
      <w:pPr>
        <w:spacing w:after="110"/>
        <w:jc w:val="center"/>
      </w:pPr>
      <w:r>
        <w:rPr>
          <w:i/>
          <w:iCs/>
          <w:sz w:val="22"/>
          <w:szCs w:val="22"/>
        </w:rPr>
        <w:t xml:space="preserve">State the committed, mark the forecast, bound the feared, end in action.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2026-08-05T22:07:38.193Z</dcterms:created>
  <dcterms:modified xsi:type="dcterms:W3CDTF">2026-08-05T22:07:38.193Z</dcterms:modified>
</cp:coreProperties>
</file>

<file path=docProps/custom.xml><?xml version="1.0" encoding="utf-8"?>
<Properties xmlns="http://schemas.openxmlformats.org/officeDocument/2006/custom-properties" xmlns:vt="http://schemas.openxmlformats.org/officeDocument/2006/docPropsVTypes"/>
</file>