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b/>
          <w:bCs/>
          <w:color w:val="1F3B2C"/>
          <w:sz w:val="32"/>
          <w:szCs w:val="32"/>
        </w:rPr>
        <w:t xml:space="preserve">WELL KEPT</w:t>
      </w:r>
    </w:p>
    <w:p>
      <w:pPr>
        <w:spacing w:after="80"/>
        <w:jc w:val="center"/>
      </w:pPr>
      <w:r>
        <w:rPr>
          <w:b/>
          <w:bCs/>
          <w:sz w:val="28"/>
          <w:szCs w:val="28"/>
        </w:rPr>
        <w:t xml:space="preserve">Household Fit Standard</w:t>
      </w:r>
    </w:p>
    <w:p>
      <w:pPr>
        <w:spacing w:after="60"/>
        <w:jc w:val="center"/>
      </w:pPr>
      <w:r>
        <w:rPr>
          <w:i/>
          <w:iCs/>
          <w:color w:val="555555"/>
          <w:sz w:val="18"/>
          <w:szCs w:val="18"/>
        </w:rPr>
        <w:t xml:space="preserve">WK-STD-027 | Version 1.0 ADOPTED by founder ruling, 2 August 2026 (A121) | Owner: Rachel Letters, CEO</w:t>
      </w:r>
    </w:p>
    <w:p>
      <w:pPr>
        <w:spacing w:after="60"/>
        <w:jc w:val="center"/>
      </w:pPr>
      <w:r>
        <w:rPr>
          <w:i/>
          <w:iCs/>
          <w:color w:val="555555"/>
          <w:sz w:val="18"/>
          <w:szCs w:val="18"/>
        </w:rPr>
        <w:t xml:space="preserve">Drafted 2 August 2026, effective on adoption | Applies to all intake and member acceptance decisions</w:t>
      </w:r>
    </w:p>
    <w:p>
      <w:pPr>
        <w:pBdr>
          <w:bottom w:val="single" w:color="1F3B2C" w:sz="6" w:space="1"/>
        </w:pBdr>
        <w:spacing w:after="120" w:before="120"/>
      </w:pPr>
      <w:r>
        <w:rPr>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1E8" w:color="auto" w:val="clear"/>
            <w:tcMar>
              <w:top w:type="dxa" w:w="180"/>
              <w:left w:type="dxa" w:w="220"/>
              <w:bottom w:type="dxa" w:w="180"/>
              <w:right w:type="dxa" w:w="220"/>
            </w:tcMar>
          </w:tcPr>
          <w:p>
            <w:pPr>
              <w:spacing w:after="120" w:before="0"/>
              <w:jc w:val="left"/>
            </w:pPr>
            <w:r>
              <w:rPr>
                <w:i/>
                <w:iCs/>
                <w:sz w:val="22"/>
                <w:szCs w:val="22"/>
              </w:rPr>
              <w:t xml:space="preserve">Tier 2 floor under WK-STD-000 Section 1 for the decline and escalation provisions. Every prospective household is evaluated against the fit criteria in this standard before a membership agreement is offered. A prospective household that clears these criteria may still be declined for other reasons; a prospective household that does not clear these criteria is not accepted regardless of the revenue they would produce.</w:t>
            </w:r>
          </w:p>
        </w:tc>
      </w:tr>
    </w:tbl>
    <w:p>
      <w:pPr>
        <w:spacing w:after="120" w:before="0"/>
        <w:jc w:val="left"/>
      </w:pPr>
      <w:r>
        <w:rPr>
          <w:sz w:val="22"/>
          <w:szCs w:val="22"/>
        </w:rPr>
        <w:t xml:space="preserve"/>
      </w:r>
    </w:p>
    <w:p>
      <w:pPr>
        <w:spacing w:after="120" w:before="0"/>
        <w:jc w:val="left"/>
      </w:pPr>
      <w:r>
        <w:rPr>
          <w:sz w:val="22"/>
          <w:szCs w:val="22"/>
        </w:rPr>
        <w:t xml:space="preserve">Well Kept turns away paying households every year, and it does so deliberately. This is the standard that describes how that decision gets made and why it exists. It is written to be applied, not aspired to. The test of whether it is real is whether it produces documented declines every year without exception.</w:t>
      </w:r>
    </w:p>
    <w:p>
      <w:pPr>
        <w:pStyle w:val="Heading2"/>
        <w:spacing w:after="120" w:before="280"/>
      </w:pPr>
      <w:r>
        <w:rPr>
          <w:b/>
          <w:bCs/>
          <w:color w:val="1F3B2C"/>
          <w:sz w:val="26"/>
          <w:szCs w:val="26"/>
        </w:rPr>
        <w:t xml:space="preserve">1. WHY THIS STANDARD EXISTS</w:t>
      </w:r>
    </w:p>
    <w:p>
      <w:pPr>
        <w:spacing w:after="120" w:before="0"/>
        <w:jc w:val="left"/>
      </w:pPr>
      <w:r>
        <w:rPr>
          <w:sz w:val="22"/>
          <w:szCs w:val="22"/>
        </w:rPr>
        <w:t xml:space="preserve">Household services businesses fail in three ways. They fail on service quality when the operating discipline erodes. They fail on labor when House Managers burn out or leave. They fail on the covenants when growth pressure produces exceptions that become the new normal. All three failures start the same way, with the acceptance of a household that was never a good fit for the operating model, on the belief that the revenue was worth the exception.</w:t>
      </w:r>
    </w:p>
    <w:p>
      <w:pPr>
        <w:spacing w:after="120" w:before="0"/>
        <w:jc w:val="left"/>
      </w:pPr>
      <w:r>
        <w:rPr>
          <w:sz w:val="22"/>
          <w:szCs w:val="22"/>
        </w:rPr>
        <w:t xml:space="preserve">Well Kept has decided in advance that certain households will not be accepted regardless of what they are willing to pay. This is not about wealth or social class; the tier pricing already establishes the wealth threshold and this standard is silent on wealth. It is about specific behaviors and household conditions that predict harm to the service provider, corrosion of the operating rhythm, or exposure that the covenants cannot support. Declining these households protects the House Managers whose retention is the plan's central asset, protects the operating rhythm that produces the service quality members are paying for, and protects the covenants that make the company what it is.</w:t>
      </w:r>
    </w:p>
    <w:p>
      <w:pPr>
        <w:spacing w:after="120" w:before="0"/>
        <w:jc w:val="left"/>
      </w:pPr>
      <w:r>
        <w:rPr>
          <w:sz w:val="22"/>
          <w:szCs w:val="22"/>
        </w:rPr>
        <w:t xml:space="preserve">The list below is not exhaustive. Judgment is required. What this standard does is name the categories where judgment must be exercised deliberately, escalate the decision above intake-associate level, document what was decided and why, and preserve the discipline over time.</w:t>
      </w:r>
    </w:p>
    <w:p>
      <w:pPr>
        <w:pStyle w:val="Heading2"/>
        <w:spacing w:after="120" w:before="280"/>
      </w:pPr>
      <w:r>
        <w:rPr>
          <w:b/>
          <w:bCs/>
          <w:color w:val="1F3B2C"/>
          <w:sz w:val="26"/>
          <w:szCs w:val="26"/>
        </w:rPr>
        <w:t xml:space="preserve">2. WHO THIS STANDARD APPLIES TO</w:t>
      </w:r>
    </w:p>
    <w:p>
      <w:pPr>
        <w:spacing w:after="120" w:before="0"/>
        <w:jc w:val="left"/>
      </w:pPr>
      <w:r>
        <w:rPr>
          <w:sz w:val="22"/>
          <w:szCs w:val="22"/>
        </w:rPr>
        <w:t xml:space="preserve">Every prospective household under active consideration for membership, at any tier, at any point in the intake process. The standard applies at three specific moments: at initial intake conversation, after the Foundation Reset observation, and at any point during onboarding where a signal warrants review. It also applies to renewal decisions for existing members whose behavior has moved into scope, though the decline process for existing members is separately handled under WK-LEG-001 section 8 and the offboarding procedure.</w:t>
      </w:r>
    </w:p>
    <w:p>
      <w:pPr>
        <w:spacing w:after="120" w:before="0"/>
        <w:jc w:val="left"/>
      </w:pPr>
      <w:r>
        <w:rPr>
          <w:sz w:val="22"/>
          <w:szCs w:val="22"/>
        </w:rPr>
        <w:t xml:space="preserve">The standard does not apply to short-term or one-time engagements, which are governed by their own protocols. It applies to weekly membership relationships, which is where the fit questions matter over time.</w:t>
      </w:r>
    </w:p>
    <w:p>
      <w:pPr>
        <w:pStyle w:val="Heading2"/>
        <w:spacing w:after="120" w:before="280"/>
      </w:pPr>
      <w:r>
        <w:rPr>
          <w:b/>
          <w:bCs/>
          <w:color w:val="1F3B2C"/>
          <w:sz w:val="26"/>
          <w:szCs w:val="26"/>
        </w:rPr>
        <w:t xml:space="preserve">3. THE CATEGORIES</w:t>
      </w:r>
    </w:p>
    <w:p>
      <w:pPr>
        <w:spacing w:after="120" w:before="0"/>
        <w:jc w:val="left"/>
      </w:pPr>
      <w:r>
        <w:rPr>
          <w:sz w:val="22"/>
          <w:szCs w:val="22"/>
        </w:rPr>
        <w:t xml:space="preserve">Eight categories are named below, in the rough order they will surface in the intake process. Each has a stated criterion, a stated evidence base, and a stated escalation path. The criteria are written to be applied by an intake associate, escalated by an Ops Lead, and decided by the CEO in the founding years.</w:t>
      </w:r>
    </w:p>
    <w:p>
      <w:pPr>
        <w:spacing w:after="80" w:before="200"/>
      </w:pPr>
      <w:r>
        <w:rPr>
          <w:b/>
          <w:bCs/>
          <w:color w:val="1F3B2C"/>
          <w:sz w:val="24"/>
          <w:szCs w:val="24"/>
        </w:rPr>
        <w:t xml:space="preserve">Category 1. Treatment of household staff, current or prior.</w:t>
      </w:r>
    </w:p>
    <w:p>
      <w:pPr>
        <w:spacing w:after="120" w:before="0"/>
        <w:jc w:val="left"/>
      </w:pPr>
      <w:r>
        <w:rPr>
          <w:sz w:val="22"/>
          <w:szCs w:val="22"/>
        </w:rPr>
        <w:t xml:space="preserve">This is the single most important criterion and it will bind most often. A prospective household that has cycled through housekeepers, personal assistants, nannies, or staffing agencies at high rates is telling you specific and reliable information about how it will treat a House Manager. The pattern is diagnostic regardless of the reasons the household offers for the turnover.</w:t>
      </w:r>
    </w:p>
    <w:p>
      <w:pPr>
        <w:pStyle w:val="ListParagraph"/>
        <w:numPr>
          <w:ilvl w:val="0"/>
          <w:numId w:val="1"/>
        </w:numPr>
        <w:spacing w:after="80"/>
      </w:pPr>
      <w:r>
        <w:rPr>
          <w:sz w:val="22"/>
          <w:szCs w:val="22"/>
        </w:rPr>
        <w:t xml:space="preserve">Criterion. </w:t>
      </w:r>
      <w:r>
        <w:rPr>
          <w:sz w:val="22"/>
          <w:szCs w:val="22"/>
        </w:rPr>
        <w:t xml:space="preserve">Three or more staff terminations in the prior five years, or any pattern of unresolved wage disputes with prior staff, or any language during intake that treats prior staff as interchangeable or as having 'not been the right fit' without further reflection, triggers escalation and review.</w:t>
      </w:r>
    </w:p>
    <w:p>
      <w:pPr>
        <w:pStyle w:val="ListParagraph"/>
        <w:numPr>
          <w:ilvl w:val="0"/>
          <w:numId w:val="1"/>
        </w:numPr>
        <w:spacing w:after="80"/>
      </w:pPr>
      <w:r>
        <w:rPr>
          <w:sz w:val="22"/>
          <w:szCs w:val="22"/>
        </w:rPr>
        <w:t xml:space="preserve">Evidence. </w:t>
      </w:r>
      <w:r>
        <w:rPr>
          <w:sz w:val="22"/>
          <w:szCs w:val="22"/>
        </w:rPr>
        <w:t xml:space="preserve">The prior-staff-history question is carried in WK-PLAY-003 Addendum C, the sole author of the intake instrument; this standard cites it and does not restate it. It is asked neutrally in every intake. The answer is documented in the intake record. Follow-up questions establish the specific reasons for each termination without leading.</w:t>
      </w:r>
    </w:p>
    <w:p>
      <w:pPr>
        <w:pStyle w:val="ListParagraph"/>
        <w:numPr>
          <w:ilvl w:val="0"/>
          <w:numId w:val="1"/>
        </w:numPr>
        <w:spacing w:after="80"/>
      </w:pPr>
      <w:r>
        <w:rPr>
          <w:sz w:val="22"/>
          <w:szCs w:val="22"/>
        </w:rPr>
        <w:t xml:space="preserve">Escalation. </w:t>
      </w:r>
      <w:r>
        <w:rPr>
          <w:sz w:val="22"/>
          <w:szCs w:val="22"/>
        </w:rPr>
        <w:t xml:space="preserve">Any household meeting the criterion is reviewed at CEO level in the founding years and at Ops Lead plus CEO sign-off in later years. Decline is the default; acceptance requires documented reasoning about what specifically has changed and how the risk to the assigned House Manager will be managed.</w:t>
      </w:r>
    </w:p>
    <w:p>
      <w:pPr>
        <w:spacing w:after="80" w:before="200"/>
      </w:pPr>
      <w:r>
        <w:rPr>
          <w:b/>
          <w:bCs/>
          <w:color w:val="1F3B2C"/>
          <w:sz w:val="24"/>
          <w:szCs w:val="24"/>
        </w:rPr>
        <w:t xml:space="preserve">Category 2. Posture toward the House Manager during the Foundation Reset.</w:t>
      </w:r>
    </w:p>
    <w:p>
      <w:pPr>
        <w:spacing w:after="120" w:before="0"/>
        <w:jc w:val="left"/>
      </w:pPr>
      <w:r>
        <w:rPr>
          <w:sz w:val="22"/>
          <w:szCs w:val="22"/>
        </w:rPr>
        <w:t xml:space="preserve">Some households reveal how they treat service providers in small ways during the first substantive interaction. Whether the House Manager is addressed by name, whether the household member acknowledges the House Manager's presence when others are present, whether the initial tour is conducted as a working introduction or a display of possessions, whether questions are directed at the House Manager or over her head, all of these are diagnostic.</w:t>
      </w:r>
    </w:p>
    <w:p>
      <w:pPr>
        <w:pStyle w:val="ListParagraph"/>
        <w:numPr>
          <w:ilvl w:val="0"/>
          <w:numId w:val="1"/>
        </w:numPr>
        <w:spacing w:after="80"/>
      </w:pPr>
      <w:r>
        <w:rPr>
          <w:sz w:val="22"/>
          <w:szCs w:val="22"/>
        </w:rPr>
        <w:t xml:space="preserve">Criterion. </w:t>
      </w:r>
      <w:r>
        <w:rPr>
          <w:sz w:val="22"/>
          <w:szCs w:val="22"/>
        </w:rPr>
        <w:t xml:space="preserve">A structured observation is completed by the House Manager at the end of the Foundation Reset, before the second visit is scheduled. Any pattern of disrespect, dismissiveness, performative wealth-display, or treatment of the House Manager as invisible, triggers review before the ongoing relationship continues.</w:t>
      </w:r>
    </w:p>
    <w:p>
      <w:pPr>
        <w:pStyle w:val="ListParagraph"/>
        <w:numPr>
          <w:ilvl w:val="0"/>
          <w:numId w:val="1"/>
        </w:numPr>
        <w:spacing w:after="80"/>
      </w:pPr>
      <w:r>
        <w:rPr>
          <w:sz w:val="22"/>
          <w:szCs w:val="22"/>
        </w:rPr>
        <w:t xml:space="preserve">Evidence. </w:t>
      </w:r>
      <w:r>
        <w:rPr>
          <w:sz w:val="22"/>
          <w:szCs w:val="22"/>
        </w:rPr>
        <w:t xml:space="preserve">The observation is a brief structured form, defined in WK-PLAY-003 Addendum C, completed immediately after the reset in approximately five minutes; through the pilot it runs on paper per the paper-official ruling of 2 August 2026, with the platform form queued behind the AR gate via WK-QA-015. Four specific questions are asked and the House Manager rates each on a stated scale. The form is reviewed by the Ops Lead within one business day of completion.</w:t>
      </w:r>
    </w:p>
    <w:p>
      <w:pPr>
        <w:pStyle w:val="ListParagraph"/>
        <w:numPr>
          <w:ilvl w:val="0"/>
          <w:numId w:val="1"/>
        </w:numPr>
        <w:spacing w:after="80"/>
      </w:pPr>
      <w:r>
        <w:rPr>
          <w:sz w:val="22"/>
          <w:szCs w:val="22"/>
        </w:rPr>
        <w:t xml:space="preserve">Escalation. </w:t>
      </w:r>
      <w:r>
        <w:rPr>
          <w:sz w:val="22"/>
          <w:szCs w:val="22"/>
        </w:rPr>
        <w:t xml:space="preserve">Any observation flagging concern is escalated to the CEO for review. The House Manager who completed the reset is consulted about her willingness to continue, and her answer is treated as controlling. Decline of the household is a supported outcome and does not require senior-manager override.</w:t>
      </w:r>
    </w:p>
    <w:p>
      <w:pPr>
        <w:spacing w:after="80" w:before="200"/>
      </w:pPr>
      <w:r>
        <w:rPr>
          <w:b/>
          <w:bCs/>
          <w:color w:val="1F3B2C"/>
          <w:sz w:val="24"/>
          <w:szCs w:val="24"/>
        </w:rPr>
        <w:t xml:space="preserve">Category 3. Expectations of after-hours availability.</w:t>
      </w:r>
    </w:p>
    <w:p>
      <w:pPr>
        <w:spacing w:after="120" w:before="0"/>
        <w:jc w:val="left"/>
      </w:pPr>
      <w:r>
        <w:rPr>
          <w:sz w:val="22"/>
          <w:szCs w:val="22"/>
        </w:rPr>
        <w:t xml:space="preserve">A prospective member who, during intake, asks whether the House Manager will be available for weekend emergencies, evening text response, or as-needed contact outside the weekly rhythm is telling you they do not accept the operating architecture that makes the labor moat work. The response architecture in WK-STD-026 addresses this at the company level, but the intake standard requires that the expectation be surfaced, explained, and either accepted by the household or treated as a decline signal.</w:t>
      </w:r>
    </w:p>
    <w:p>
      <w:pPr>
        <w:pStyle w:val="ListParagraph"/>
        <w:numPr>
          <w:ilvl w:val="0"/>
          <w:numId w:val="1"/>
        </w:numPr>
        <w:spacing w:after="80"/>
      </w:pPr>
      <w:r>
        <w:rPr>
          <w:sz w:val="22"/>
          <w:szCs w:val="22"/>
        </w:rPr>
        <w:t xml:space="preserve">Criterion. </w:t>
      </w:r>
      <w:r>
        <w:rPr>
          <w:sz w:val="22"/>
          <w:szCs w:val="22"/>
        </w:rPr>
        <w:t xml:space="preserve">After-hours availability expectations are surfaced through the WK-PLAY-003 Addendum C question, and the response architecture is explained (WK-STD-028). Any household that continues to press for personal availability of the House Manager outside the operating rhythm after the explanation is a decline.</w:t>
      </w:r>
    </w:p>
    <w:p>
      <w:pPr>
        <w:pStyle w:val="ListParagraph"/>
        <w:numPr>
          <w:ilvl w:val="0"/>
          <w:numId w:val="1"/>
        </w:numPr>
        <w:spacing w:after="80"/>
      </w:pPr>
      <w:r>
        <w:rPr>
          <w:sz w:val="22"/>
          <w:szCs w:val="22"/>
        </w:rPr>
        <w:t xml:space="preserve">Evidence. </w:t>
      </w:r>
      <w:r>
        <w:rPr>
          <w:sz w:val="22"/>
          <w:szCs w:val="22"/>
        </w:rPr>
        <w:t xml:space="preserve">The intake conversation follows a scripted section on operating rhythm and response architecture. The household's response is documented in the intake record. Pressure to modify the architecture is a specific documented item.</w:t>
      </w:r>
    </w:p>
    <w:p>
      <w:pPr>
        <w:pStyle w:val="ListParagraph"/>
        <w:numPr>
          <w:ilvl w:val="0"/>
          <w:numId w:val="1"/>
        </w:numPr>
        <w:spacing w:after="80"/>
      </w:pPr>
      <w:r>
        <w:rPr>
          <w:sz w:val="22"/>
          <w:szCs w:val="22"/>
        </w:rPr>
        <w:t xml:space="preserve">Escalation. </w:t>
      </w:r>
      <w:r>
        <w:rPr>
          <w:sz w:val="22"/>
          <w:szCs w:val="22"/>
        </w:rPr>
        <w:t xml:space="preserve">Immediate decline is available to the intake associate with Ops Lead notification. No CEO escalation is required for this category because the criterion is unambiguous once the operating rhythm has been explained. This is the category most likely to feel counterintuitive to decline, because the household appears willing to pay more for more availability. The exception is not worth the erosion. Decline.</w:t>
      </w:r>
    </w:p>
    <w:p>
      <w:pPr>
        <w:spacing w:after="80" w:before="200"/>
      </w:pPr>
      <w:r>
        <w:rPr>
          <w:b/>
          <w:bCs/>
          <w:color w:val="1F3B2C"/>
          <w:sz w:val="24"/>
          <w:szCs w:val="24"/>
        </w:rPr>
        <w:t xml:space="preserve">Category 4. Behavior during the intake conversation itself.</w:t>
      </w:r>
    </w:p>
    <w:p>
      <w:pPr>
        <w:spacing w:after="120" w:before="0"/>
        <w:jc w:val="left"/>
      </w:pPr>
      <w:r>
        <w:rPr>
          <w:sz w:val="22"/>
          <w:szCs w:val="22"/>
        </w:rPr>
        <w:t xml:space="preserve">The intake conversation is diagnostic. Households that pressure toward faster acceptance, demand exceptions to the standard membership agreement, question the House Manager wage rate in ways that reveal contempt for the labor arrangement, or attempt to negotiate around the covenants, are showing exactly how they will behave as members.</w:t>
      </w:r>
    </w:p>
    <w:p>
      <w:pPr>
        <w:pStyle w:val="ListParagraph"/>
        <w:numPr>
          <w:ilvl w:val="0"/>
          <w:numId w:val="1"/>
        </w:numPr>
        <w:spacing w:after="80"/>
      </w:pPr>
      <w:r>
        <w:rPr>
          <w:sz w:val="22"/>
          <w:szCs w:val="22"/>
        </w:rPr>
        <w:t xml:space="preserve">Criterion. </w:t>
      </w:r>
      <w:r>
        <w:rPr>
          <w:sz w:val="22"/>
          <w:szCs w:val="22"/>
        </w:rPr>
        <w:t xml:space="preserve">Any of the following behaviors during intake trigger escalation: contempt for the wage rate ('do you really pay them that much?'), attempts to negotiate exceptions to the operating rhythm or the covenants, pressure for faster acceptance than the intake process allows, or repeated challenges to explanations of pricing, rhythm, or philosophy after they have been offered.</w:t>
      </w:r>
    </w:p>
    <w:p>
      <w:pPr>
        <w:pStyle w:val="ListParagraph"/>
        <w:numPr>
          <w:ilvl w:val="0"/>
          <w:numId w:val="1"/>
        </w:numPr>
        <w:spacing w:after="80"/>
      </w:pPr>
      <w:r>
        <w:rPr>
          <w:sz w:val="22"/>
          <w:szCs w:val="22"/>
        </w:rPr>
        <w:t xml:space="preserve">Evidence. </w:t>
      </w:r>
      <w:r>
        <w:rPr>
          <w:sz w:val="22"/>
          <w:szCs w:val="22"/>
        </w:rPr>
        <w:t xml:space="preserve">The intake associate documents specific statements, not impressions. Documented direct quotes are the evidence.</w:t>
      </w:r>
    </w:p>
    <w:p>
      <w:pPr>
        <w:pStyle w:val="ListParagraph"/>
        <w:numPr>
          <w:ilvl w:val="0"/>
          <w:numId w:val="1"/>
        </w:numPr>
        <w:spacing w:after="80"/>
      </w:pPr>
      <w:r>
        <w:rPr>
          <w:sz w:val="22"/>
          <w:szCs w:val="22"/>
        </w:rPr>
        <w:t xml:space="preserve">Escalation. </w:t>
      </w:r>
      <w:r>
        <w:rPr>
          <w:sz w:val="22"/>
          <w:szCs w:val="22"/>
        </w:rPr>
        <w:t xml:space="preserve">Any household meeting the criterion is escalated to CEO review. Decline is the presumptive outcome; acceptance requires specific documented reasoning about what has been discussed and confirmed.</w:t>
      </w:r>
    </w:p>
    <w:p>
      <w:pPr>
        <w:spacing w:after="80" w:before="200"/>
      </w:pPr>
      <w:r>
        <w:rPr>
          <w:b/>
          <w:bCs/>
          <w:color w:val="1F3B2C"/>
          <w:sz w:val="24"/>
          <w:szCs w:val="24"/>
        </w:rPr>
        <w:t xml:space="preserve">Category 5. Stated reasons for seeking a House Manager.</w:t>
      </w:r>
    </w:p>
    <w:p>
      <w:pPr>
        <w:spacing w:after="120" w:before="0"/>
        <w:jc w:val="left"/>
      </w:pPr>
      <w:r>
        <w:rPr>
          <w:sz w:val="22"/>
          <w:szCs w:val="22"/>
        </w:rPr>
        <w:t xml:space="preserve">The right reason is that the household needs household operations run well. Wrong reasons include displaying wealth, 'solving' a spouse who will not do domestic labor, replacing a departed staff member with as little disruption as possible, or using the House Manager as an intermediary in family conflict. During intake, the reason for seeking service is surfaced explicitly and treated as diagnostic.</w:t>
      </w:r>
    </w:p>
    <w:p>
      <w:pPr>
        <w:pStyle w:val="ListParagraph"/>
        <w:numPr>
          <w:ilvl w:val="0"/>
          <w:numId w:val="1"/>
        </w:numPr>
        <w:spacing w:after="80"/>
      </w:pPr>
      <w:r>
        <w:rPr>
          <w:sz w:val="22"/>
          <w:szCs w:val="22"/>
        </w:rPr>
        <w:t xml:space="preserve">Criterion. </w:t>
      </w:r>
      <w:r>
        <w:rPr>
          <w:sz w:val="22"/>
          <w:szCs w:val="22"/>
        </w:rPr>
        <w:t xml:space="preserve">The reason-for-seeking-service question is carried in WK-PLAY-003 Addendum C; this standard cites it. Reasons that treat the House Manager instrumentally in ways inconsistent with the operating model trigger review.</w:t>
      </w:r>
    </w:p>
    <w:p>
      <w:pPr>
        <w:pStyle w:val="ListParagraph"/>
        <w:numPr>
          <w:ilvl w:val="0"/>
          <w:numId w:val="1"/>
        </w:numPr>
        <w:spacing w:after="80"/>
      </w:pPr>
      <w:r>
        <w:rPr>
          <w:sz w:val="22"/>
          <w:szCs w:val="22"/>
        </w:rPr>
        <w:t xml:space="preserve">Evidence. </w:t>
      </w:r>
      <w:r>
        <w:rPr>
          <w:sz w:val="22"/>
          <w:szCs w:val="22"/>
        </w:rPr>
        <w:t xml:space="preserve">The household's stated reason is documented in the intake record. Follow-up questions establish specificity.</w:t>
      </w:r>
    </w:p>
    <w:p>
      <w:pPr>
        <w:pStyle w:val="ListParagraph"/>
        <w:numPr>
          <w:ilvl w:val="0"/>
          <w:numId w:val="1"/>
        </w:numPr>
        <w:spacing w:after="80"/>
      </w:pPr>
      <w:r>
        <w:rPr>
          <w:sz w:val="22"/>
          <w:szCs w:val="22"/>
        </w:rPr>
        <w:t xml:space="preserve">Escalation. </w:t>
      </w:r>
      <w:r>
        <w:rPr>
          <w:sz w:val="22"/>
          <w:szCs w:val="22"/>
        </w:rPr>
        <w:t xml:space="preserve">This category is judgment-heavy and requires the intake conversation to be conducted by a senior person. In the founding years the CEO conducts intake conversations personally. In later years the Ops Lead conducts intake and CEO reviews any household flagged in this category before acceptance.</w:t>
      </w:r>
    </w:p>
    <w:p>
      <w:pPr>
        <w:spacing w:after="80" w:before="200"/>
      </w:pPr>
      <w:r>
        <w:rPr>
          <w:b/>
          <w:bCs/>
          <w:color w:val="1F3B2C"/>
          <w:sz w:val="24"/>
          <w:szCs w:val="24"/>
        </w:rPr>
        <w:t xml:space="preserve">Category 6. Behavioral patterns that predict harm to House Managers.</w:t>
      </w:r>
    </w:p>
    <w:p>
      <w:pPr>
        <w:spacing w:after="120" w:before="0"/>
        <w:jc w:val="left"/>
      </w:pPr>
      <w:r>
        <w:rPr>
          <w:sz w:val="22"/>
          <w:szCs w:val="22"/>
        </w:rPr>
        <w:t xml:space="preserve">Households in active contentious divorce, households with a pattern of triangulating outside people into family conflicts, households where one adult member consistently overrides another in ways that put the House Manager in an impossible position, and households where a member has made unsubstantiated accusations against prior service providers, all predict harm to the House Manager regardless of what the household is willing to pay. This standard describes behavioral patterns rather than household structures. Household composition is not a fit criterion.</w:t>
      </w:r>
    </w:p>
    <w:p>
      <w:pPr>
        <w:pStyle w:val="ListParagraph"/>
        <w:numPr>
          <w:ilvl w:val="0"/>
          <w:numId w:val="1"/>
        </w:numPr>
        <w:spacing w:after="80"/>
      </w:pPr>
      <w:r>
        <w:rPr>
          <w:sz w:val="22"/>
          <w:szCs w:val="22"/>
        </w:rPr>
        <w:t xml:space="preserve">Criterion. </w:t>
      </w:r>
      <w:r>
        <w:rPr>
          <w:sz w:val="22"/>
          <w:szCs w:val="22"/>
        </w:rPr>
        <w:t xml:space="preserve">Behavioral patterns predicting harm to the assigned House Manager trigger escalation and review. The relevant patterns are those that would put the House Manager in an unacceptable position, judged conservatively.</w:t>
      </w:r>
    </w:p>
    <w:p>
      <w:pPr>
        <w:pStyle w:val="ListParagraph"/>
        <w:numPr>
          <w:ilvl w:val="0"/>
          <w:numId w:val="1"/>
        </w:numPr>
        <w:spacing w:after="80"/>
      </w:pPr>
      <w:r>
        <w:rPr>
          <w:sz w:val="22"/>
          <w:szCs w:val="22"/>
        </w:rPr>
        <w:t xml:space="preserve">Evidence. </w:t>
      </w:r>
      <w:r>
        <w:rPr>
          <w:sz w:val="22"/>
          <w:szCs w:val="22"/>
        </w:rPr>
        <w:t xml:space="preserve">Documented pattern from intake conversation, verified during Foundation Reset if not surfaced sooner, and consultation with the assigned House Manager about her willingness to continue.</w:t>
      </w:r>
    </w:p>
    <w:p>
      <w:pPr>
        <w:pStyle w:val="ListParagraph"/>
        <w:numPr>
          <w:ilvl w:val="0"/>
          <w:numId w:val="1"/>
        </w:numPr>
        <w:spacing w:after="80"/>
      </w:pPr>
      <w:r>
        <w:rPr>
          <w:sz w:val="22"/>
          <w:szCs w:val="22"/>
        </w:rPr>
        <w:t xml:space="preserve">Escalation. </w:t>
      </w:r>
      <w:r>
        <w:rPr>
          <w:sz w:val="22"/>
          <w:szCs w:val="22"/>
        </w:rPr>
        <w:t xml:space="preserve">CEO review in every case. The assigned House Manager's willingness is treated as controlling. Household composition, marital status, family structure, and orientation are never fit criteria and are not part of this evaluation.</w:t>
      </w:r>
    </w:p>
    <w:p>
      <w:pPr>
        <w:spacing w:after="80" w:before="200"/>
      </w:pPr>
      <w:r>
        <w:rPr>
          <w:b/>
          <w:bCs/>
          <w:color w:val="1F3B2C"/>
          <w:sz w:val="24"/>
          <w:szCs w:val="24"/>
        </w:rPr>
        <w:t xml:space="preserve">Category 7. Legal and regulatory exposure.</w:t>
      </w:r>
    </w:p>
    <w:p>
      <w:pPr>
        <w:spacing w:after="120" w:before="0"/>
        <w:jc w:val="left"/>
      </w:pPr>
      <w:r>
        <w:rPr>
          <w:sz w:val="22"/>
          <w:szCs w:val="22"/>
        </w:rPr>
        <w:t xml:space="preserve">Households with active federal investigation, pending litigation that could subpoena household records, or business exposure that would put House Manager notes in the discovery pile, are evaluated at a different threshold than the standard fit criteria. This is not automatic decline. Some households will be genuinely acceptable members. What it requires is a different standard of documentation, a modified member agreement, and CEO-level intake with counsel input.</w:t>
      </w:r>
    </w:p>
    <w:p>
      <w:pPr>
        <w:pStyle w:val="ListParagraph"/>
        <w:numPr>
          <w:ilvl w:val="0"/>
          <w:numId w:val="1"/>
        </w:numPr>
        <w:spacing w:after="80"/>
      </w:pPr>
      <w:r>
        <w:rPr>
          <w:sz w:val="22"/>
          <w:szCs w:val="22"/>
        </w:rPr>
        <w:t xml:space="preserve">Criterion. </w:t>
      </w:r>
      <w:r>
        <w:rPr>
          <w:sz w:val="22"/>
          <w:szCs w:val="22"/>
        </w:rPr>
        <w:t xml:space="preserve">Any known active federal investigation, pending litigation with discovery risk, or business exposure that could put household records in subpoena scope, requires the household to be evaluated under counsel-directed protocols (WK-STD-029, reserved, will govern once issued) in addition to this standard.</w:t>
      </w:r>
    </w:p>
    <w:p>
      <w:pPr>
        <w:pStyle w:val="ListParagraph"/>
        <w:numPr>
          <w:ilvl w:val="0"/>
          <w:numId w:val="1"/>
        </w:numPr>
        <w:spacing w:after="80"/>
      </w:pPr>
      <w:r>
        <w:rPr>
          <w:sz w:val="22"/>
          <w:szCs w:val="22"/>
        </w:rPr>
        <w:t xml:space="preserve">Evidence. </w:t>
      </w:r>
      <w:r>
        <w:rPr>
          <w:sz w:val="22"/>
          <w:szCs w:val="22"/>
        </w:rPr>
        <w:t xml:space="preserve">Disclosure by the household during intake, or discovery through the standard household background review. Counsel review is required for any household meeting this criterion.</w:t>
      </w:r>
    </w:p>
    <w:p>
      <w:pPr>
        <w:pStyle w:val="ListParagraph"/>
        <w:numPr>
          <w:ilvl w:val="0"/>
          <w:numId w:val="1"/>
        </w:numPr>
        <w:spacing w:after="80"/>
      </w:pPr>
      <w:r>
        <w:rPr>
          <w:sz w:val="22"/>
          <w:szCs w:val="22"/>
        </w:rPr>
        <w:t xml:space="preserve">Escalation. </w:t>
      </w:r>
      <w:r>
        <w:rPr>
          <w:sz w:val="22"/>
          <w:szCs w:val="22"/>
        </w:rPr>
        <w:t xml:space="preserve">CEO decision with counsel input. Acceptance requires a modified member agreement with specific record-handling provisions. Decline is a supported outcome when the exposure profile exceeds what the company is prepared to hold.</w:t>
      </w:r>
    </w:p>
    <w:p>
      <w:pPr>
        <w:spacing w:after="80" w:before="200"/>
      </w:pPr>
      <w:r>
        <w:rPr>
          <w:b/>
          <w:bCs/>
          <w:color w:val="1F3B2C"/>
          <w:sz w:val="24"/>
          <w:szCs w:val="24"/>
        </w:rPr>
        <w:t xml:space="preserve">Category 8. Political prominence.</w:t>
      </w:r>
    </w:p>
    <w:p>
      <w:pPr>
        <w:spacing w:after="120" w:before="0"/>
        <w:jc w:val="left"/>
      </w:pPr>
      <w:r>
        <w:rPr>
          <w:sz w:val="22"/>
          <w:szCs w:val="22"/>
        </w:rPr>
        <w:t xml:space="preserve">A household headed by an active federal official, senior lobbyist, media figure of significant public exposure, or family member of same, creates specific operational risks. Media attention on the household spills onto the service provider. House Manager confidentiality becomes higher-stakes. The household's political affiliations may create discomfort for House Managers whose values differ. This category does not decline households based on political affiliation, which would be neither legal nor consistent with the company's values.</w:t>
      </w:r>
    </w:p>
    <w:p>
      <w:pPr>
        <w:pStyle w:val="ListParagraph"/>
        <w:numPr>
          <w:ilvl w:val="0"/>
          <w:numId w:val="1"/>
        </w:numPr>
        <w:spacing w:after="80"/>
      </w:pPr>
      <w:r>
        <w:rPr>
          <w:sz w:val="22"/>
          <w:szCs w:val="22"/>
        </w:rPr>
        <w:t xml:space="preserve">Criterion. </w:t>
      </w:r>
      <w:r>
        <w:rPr>
          <w:sz w:val="22"/>
          <w:szCs w:val="22"/>
        </w:rPr>
        <w:t xml:space="preserve">Households of significant political prominence require explicit disclosure during intake, explicit acceptance by the House Manager who will serve the household, specific media-exposure protocols, and CEO-level review before acceptance.</w:t>
      </w:r>
    </w:p>
    <w:p>
      <w:pPr>
        <w:pStyle w:val="ListParagraph"/>
        <w:numPr>
          <w:ilvl w:val="0"/>
          <w:numId w:val="1"/>
        </w:numPr>
        <w:spacing w:after="80"/>
      </w:pPr>
      <w:r>
        <w:rPr>
          <w:sz w:val="22"/>
          <w:szCs w:val="22"/>
        </w:rPr>
        <w:t xml:space="preserve">Evidence. </w:t>
      </w:r>
      <w:r>
        <w:rPr>
          <w:sz w:val="22"/>
          <w:szCs w:val="22"/>
        </w:rPr>
        <w:t xml:space="preserve">Standard household background review at intake surfaces public exposure profile. The assigned House Manager is briefed on the exposure profile and consents to the assignment before onboarding proceeds.</w:t>
      </w:r>
    </w:p>
    <w:p>
      <w:pPr>
        <w:pStyle w:val="ListParagraph"/>
        <w:numPr>
          <w:ilvl w:val="0"/>
          <w:numId w:val="1"/>
        </w:numPr>
        <w:spacing w:after="80"/>
      </w:pPr>
      <w:r>
        <w:rPr>
          <w:sz w:val="22"/>
          <w:szCs w:val="22"/>
        </w:rPr>
        <w:t xml:space="preserve">Escalation. </w:t>
      </w:r>
      <w:r>
        <w:rPr>
          <w:sz w:val="22"/>
          <w:szCs w:val="22"/>
        </w:rPr>
        <w:t xml:space="preserve">CEO decision. The House Manager's consent to the assignment is treated as controlling; assignment without disclosure and consent is not permitted under this standard.</w:t>
      </w:r>
    </w:p>
    <w:p>
      <w:pPr>
        <w:pStyle w:val="Heading2"/>
        <w:spacing w:after="120" w:before="280"/>
      </w:pPr>
      <w:r>
        <w:rPr>
          <w:b/>
          <w:bCs/>
          <w:color w:val="1F3B2C"/>
          <w:sz w:val="26"/>
          <w:szCs w:val="26"/>
        </w:rPr>
        <w:t xml:space="preserve">4. WHAT DOES NOT BELONG IN THIS STANDARD</w:t>
      </w:r>
    </w:p>
    <w:p>
      <w:pPr>
        <w:spacing w:after="120" w:before="0"/>
        <w:jc w:val="left"/>
      </w:pPr>
      <w:r>
        <w:rPr>
          <w:sz w:val="22"/>
          <w:szCs w:val="22"/>
        </w:rPr>
        <w:t xml:space="preserve">The following are explicitly not fit criteria under this standard, and no decision may be made or recorded under this standard on the following bases:</w:t>
      </w:r>
    </w:p>
    <w:p>
      <w:pPr>
        <w:pStyle w:val="ListParagraph"/>
        <w:numPr>
          <w:ilvl w:val="0"/>
          <w:numId w:val="1"/>
        </w:numPr>
        <w:spacing w:after="80"/>
      </w:pPr>
      <w:r>
        <w:rPr>
          <w:sz w:val="22"/>
          <w:szCs w:val="22"/>
        </w:rPr>
        <w:t xml:space="preserve">Wealth level. </w:t>
      </w:r>
      <w:r>
        <w:rPr>
          <w:sz w:val="22"/>
          <w:szCs w:val="22"/>
        </w:rPr>
        <w:t xml:space="preserve">The tier pricing is the wealth criterion. This standard is silent on wealth.</w:t>
      </w:r>
    </w:p>
    <w:p>
      <w:pPr>
        <w:pStyle w:val="ListParagraph"/>
        <w:numPr>
          <w:ilvl w:val="0"/>
          <w:numId w:val="1"/>
        </w:numPr>
        <w:spacing w:after="80"/>
      </w:pPr>
      <w:r>
        <w:rPr>
          <w:sz w:val="22"/>
          <w:szCs w:val="22"/>
        </w:rPr>
        <w:t xml:space="preserve">Household composition. </w:t>
      </w:r>
      <w:r>
        <w:rPr>
          <w:sz w:val="22"/>
          <w:szCs w:val="22"/>
        </w:rPr>
        <w:t xml:space="preserve">Single-parent households, same-sex households, multi-generational households, blended families, unmarried partners, and any other structure are not fit criteria. Behavior is a fit criterion; composition is not.</w:t>
      </w:r>
    </w:p>
    <w:p>
      <w:pPr>
        <w:pStyle w:val="ListParagraph"/>
        <w:numPr>
          <w:ilvl w:val="0"/>
          <w:numId w:val="1"/>
        </w:numPr>
        <w:spacing w:after="80"/>
      </w:pPr>
      <w:r>
        <w:rPr>
          <w:sz w:val="22"/>
          <w:szCs w:val="22"/>
        </w:rPr>
        <w:t xml:space="preserve">Race, national origin, religion, and other protected characteristics. </w:t>
      </w:r>
      <w:r>
        <w:rPr>
          <w:sz w:val="22"/>
          <w:szCs w:val="22"/>
        </w:rPr>
        <w:t xml:space="preserve">These are never fit criteria and any decline referencing them is a violation of this standard and applicable law.</w:t>
      </w:r>
    </w:p>
    <w:p>
      <w:pPr>
        <w:pStyle w:val="ListParagraph"/>
        <w:numPr>
          <w:ilvl w:val="0"/>
          <w:numId w:val="1"/>
        </w:numPr>
        <w:spacing w:after="80"/>
      </w:pPr>
      <w:r>
        <w:rPr>
          <w:sz w:val="22"/>
          <w:szCs w:val="22"/>
        </w:rPr>
        <w:t xml:space="preserve">Political affiliation. </w:t>
      </w:r>
      <w:r>
        <w:rPr>
          <w:sz w:val="22"/>
          <w:szCs w:val="22"/>
        </w:rPr>
        <w:t xml:space="preserve">Political prominence is a category above with specific protocols. Political affiliation itself is not a fit criterion.</w:t>
      </w:r>
    </w:p>
    <w:p>
      <w:pPr>
        <w:pStyle w:val="ListParagraph"/>
        <w:numPr>
          <w:ilvl w:val="0"/>
          <w:numId w:val="1"/>
        </w:numPr>
        <w:spacing w:after="80"/>
      </w:pPr>
      <w:r>
        <w:rPr>
          <w:sz w:val="22"/>
          <w:szCs w:val="22"/>
        </w:rPr>
        <w:t xml:space="preserve">'Fit' in the sense of social class, taste, or cultural style. </w:t>
      </w:r>
      <w:r>
        <w:rPr>
          <w:sz w:val="22"/>
          <w:szCs w:val="22"/>
        </w:rPr>
        <w:t xml:space="preserve">This standard describes specific behaviors, not preferences of the founder or intake associate.</w:t>
      </w:r>
    </w:p>
    <w:p>
      <w:pPr>
        <w:pStyle w:val="Heading2"/>
        <w:spacing w:after="120" w:before="280"/>
      </w:pPr>
      <w:r>
        <w:rPr>
          <w:b/>
          <w:bCs/>
          <w:color w:val="1F3B2C"/>
          <w:sz w:val="26"/>
          <w:szCs w:val="26"/>
        </w:rPr>
        <w:t xml:space="preserve">5. HOW A DECLINE DECISION IS MADE</w:t>
      </w:r>
    </w:p>
    <w:p>
      <w:pPr>
        <w:spacing w:after="80" w:before="200"/>
      </w:pPr>
      <w:r>
        <w:rPr>
          <w:b/>
          <w:bCs/>
          <w:color w:val="1F3B2C"/>
          <w:sz w:val="24"/>
          <w:szCs w:val="24"/>
        </w:rPr>
        <w:t xml:space="preserve">The decline authority.</w:t>
      </w:r>
    </w:p>
    <w:p>
      <w:pPr>
        <w:spacing w:after="120" w:before="0"/>
        <w:jc w:val="left"/>
      </w:pPr>
      <w:r>
        <w:rPr>
          <w:sz w:val="22"/>
          <w:szCs w:val="22"/>
        </w:rPr>
        <w:t xml:space="preserve">An intake associate may decline a household without escalation only under Category 3 after the operating rhythm has been explained and pressure has continued. All other declines require Ops Lead review. In the founding years, all declines receive CEO awareness even where sign-off is not required.</w:t>
      </w:r>
    </w:p>
    <w:p>
      <w:pPr>
        <w:spacing w:after="80" w:before="200"/>
      </w:pPr>
      <w:r>
        <w:rPr>
          <w:b/>
          <w:bCs/>
          <w:color w:val="1F3B2C"/>
          <w:sz w:val="24"/>
          <w:szCs w:val="24"/>
        </w:rPr>
        <w:t xml:space="preserve">The documentation requirement.</w:t>
      </w:r>
    </w:p>
    <w:p>
      <w:pPr>
        <w:spacing w:after="120" w:before="0"/>
        <w:jc w:val="left"/>
      </w:pPr>
      <w:r>
        <w:rPr>
          <w:sz w:val="22"/>
          <w:szCs w:val="22"/>
        </w:rPr>
        <w:t xml:space="preserve">Every decline is documented at the point of decision in the register. The record includes the specific category triggered, the specific evidence, the person who made the decision, the date, and if relevant, the assigned House Manager's role in the decision. Documentation is not optional and is not retroactively created.</w:t>
      </w:r>
    </w:p>
    <w:p>
      <w:pPr>
        <w:spacing w:after="80" w:before="200"/>
      </w:pPr>
      <w:r>
        <w:rPr>
          <w:b/>
          <w:bCs/>
          <w:color w:val="1F3B2C"/>
          <w:sz w:val="24"/>
          <w:szCs w:val="24"/>
        </w:rPr>
        <w:t xml:space="preserve">The exception process.</w:t>
      </w:r>
    </w:p>
    <w:p>
      <w:pPr>
        <w:spacing w:after="120" w:before="0"/>
        <w:jc w:val="left"/>
      </w:pPr>
      <w:r>
        <w:rPr>
          <w:sz w:val="22"/>
          <w:szCs w:val="22"/>
        </w:rPr>
        <w:t xml:space="preserve">Some households will trigger one category but be genuinely a good fit on the others. An exception may be granted with specific conditions:</w:t>
      </w:r>
    </w:p>
    <w:p>
      <w:pPr>
        <w:pStyle w:val="ListParagraph"/>
        <w:numPr>
          <w:ilvl w:val="0"/>
          <w:numId w:val="1"/>
        </w:numPr>
        <w:spacing w:after="80"/>
      </w:pPr>
      <w:r>
        <w:rPr>
          <w:sz w:val="22"/>
          <w:szCs w:val="22"/>
        </w:rPr>
        <w:t xml:space="preserve">Exceptions require CEO sign-off in every case.</w:t>
      </w:r>
    </w:p>
    <w:p>
      <w:pPr>
        <w:pStyle w:val="ListParagraph"/>
        <w:numPr>
          <w:ilvl w:val="0"/>
          <w:numId w:val="1"/>
        </w:numPr>
        <w:spacing w:after="80"/>
      </w:pPr>
      <w:r>
        <w:rPr>
          <w:sz w:val="22"/>
          <w:szCs w:val="22"/>
        </w:rPr>
        <w:t xml:space="preserve">Exceptions require a stated review point, usually the first ninety days of membership.</w:t>
      </w:r>
    </w:p>
    <w:p>
      <w:pPr>
        <w:pStyle w:val="ListParagraph"/>
        <w:numPr>
          <w:ilvl w:val="0"/>
          <w:numId w:val="1"/>
        </w:numPr>
        <w:spacing w:after="80"/>
      </w:pPr>
      <w:r>
        <w:rPr>
          <w:sz w:val="22"/>
          <w:szCs w:val="22"/>
        </w:rPr>
        <w:t xml:space="preserve">Exceptions require that the assigned House Manager be aware of the exception and consent to the assignment.</w:t>
      </w:r>
    </w:p>
    <w:p>
      <w:pPr>
        <w:pStyle w:val="ListParagraph"/>
        <w:numPr>
          <w:ilvl w:val="0"/>
          <w:numId w:val="1"/>
        </w:numPr>
        <w:spacing w:after="80"/>
      </w:pPr>
      <w:r>
        <w:rPr>
          <w:sz w:val="22"/>
          <w:szCs w:val="22"/>
        </w:rPr>
        <w:t xml:space="preserve">Exceptions are documented in the register with the same specificity as declines, and are reviewed quarterly.</w:t>
      </w:r>
    </w:p>
    <w:p>
      <w:pPr>
        <w:spacing w:after="120" w:before="0"/>
        <w:jc w:val="left"/>
      </w:pPr>
      <w:r>
        <w:rPr>
          <w:sz w:val="22"/>
          <w:szCs w:val="22"/>
        </w:rPr>
        <w:t xml:space="preserve">Exceptions should be rare. If more than ten percent of borderline cases become exceptions, the standard is drifting and the annual review must address it.</w:t>
      </w:r>
    </w:p>
    <w:p>
      <w:pPr>
        <w:spacing w:after="80" w:before="200"/>
      </w:pPr>
      <w:r>
        <w:rPr>
          <w:b/>
          <w:bCs/>
          <w:color w:val="1F3B2C"/>
          <w:sz w:val="24"/>
          <w:szCs w:val="24"/>
        </w:rPr>
        <w:t xml:space="preserve">The member communication.</w:t>
      </w:r>
    </w:p>
    <w:p>
      <w:pPr>
        <w:spacing w:after="120" w:before="0"/>
        <w:jc w:val="left"/>
      </w:pPr>
      <w:r>
        <w:rPr>
          <w:sz w:val="22"/>
          <w:szCs w:val="22"/>
        </w:rPr>
        <w:t xml:space="preserve">A declined household is told directly and respectfully that Well Kept is not the right fit for what they are seeking. Specific reasons are not disclosed; the decline is stated as a fit assessment and the conversation is closed with warmth. Declines are not opportunities to explain or educate. The company does not owe the household a debate.</w:t>
      </w:r>
    </w:p>
    <w:p>
      <w:pPr>
        <w:pStyle w:val="Heading2"/>
        <w:spacing w:after="120" w:before="280"/>
      </w:pPr>
      <w:r>
        <w:rPr>
          <w:b/>
          <w:bCs/>
          <w:color w:val="1F3B2C"/>
          <w:sz w:val="26"/>
          <w:szCs w:val="26"/>
        </w:rPr>
        <w:t xml:space="preserve">6. QUARTERLY AND ANNUAL REVIEW</w:t>
      </w:r>
    </w:p>
    <w:p>
      <w:pPr>
        <w:spacing w:after="80" w:before="200"/>
      </w:pPr>
      <w:r>
        <w:rPr>
          <w:b/>
          <w:bCs/>
          <w:color w:val="1F3B2C"/>
          <w:sz w:val="24"/>
          <w:szCs w:val="24"/>
        </w:rPr>
        <w:t xml:space="preserve">Quarterly review.</w:t>
      </w:r>
    </w:p>
    <w:p>
      <w:pPr>
        <w:spacing w:after="120" w:before="0"/>
        <w:jc w:val="left"/>
      </w:pPr>
      <w:r>
        <w:rPr>
          <w:sz w:val="22"/>
          <w:szCs w:val="22"/>
        </w:rPr>
        <w:t xml:space="preserve">Every quarter the CEO reviews all declines and exceptions of the prior three months. The review addresses three questions. Is the standard being applied consistently? Are the same categories triggering repeatedly, and does the pattern suggest the intake process should be adjusted upstream? Are declined households appearing at competitor services in ways that suggest we are too restrictive, or in trouble in ways that suggest we are calibrated correctly? Findings are recorded.</w:t>
      </w:r>
    </w:p>
    <w:p>
      <w:pPr>
        <w:spacing w:after="80" w:before="200"/>
      </w:pPr>
      <w:r>
        <w:rPr>
          <w:b/>
          <w:bCs/>
          <w:color w:val="1F3B2C"/>
          <w:sz w:val="24"/>
          <w:szCs w:val="24"/>
        </w:rPr>
        <w:t xml:space="preserve">Annual review.</w:t>
      </w:r>
    </w:p>
    <w:p>
      <w:pPr>
        <w:spacing w:after="120" w:before="0"/>
        <w:jc w:val="left"/>
      </w:pPr>
      <w:r>
        <w:rPr>
          <w:sz w:val="22"/>
          <w:szCs w:val="22"/>
        </w:rPr>
        <w:t xml:space="preserve">Every January the standard is reviewed against the prior year's cases. Categories that produced few declines are examined for whether they should be tightened or dropped. New patterns that emerged during the year are considered for addition. The standard is a living document and its evolution is documented in the register.</w:t>
      </w:r>
    </w:p>
    <w:p>
      <w:pPr>
        <w:spacing w:after="80" w:before="200"/>
      </w:pPr>
      <w:r>
        <w:rPr>
          <w:b/>
          <w:bCs/>
          <w:color w:val="1F3B2C"/>
          <w:sz w:val="24"/>
          <w:szCs w:val="24"/>
        </w:rPr>
        <w:t xml:space="preserve">The founder discipline.</w:t>
      </w:r>
    </w:p>
    <w:p>
      <w:pPr>
        <w:spacing w:after="120" w:before="0"/>
        <w:jc w:val="left"/>
      </w:pPr>
      <w:r>
        <w:rPr>
          <w:sz w:val="22"/>
          <w:szCs w:val="22"/>
        </w:rPr>
        <w:t xml:space="preserve">In the founding years, the CEO is expected to personally decline at least one household per quarter as a discipline. This is not a quota; it is a check that the muscle remains exercised. The most common failure mode of a fit-override standard is that it becomes theoretical because no one wants to be the person who declines. The founder demonstrating that decline is a legitimate outcome makes it easier for junior staff to trust the standard when their turn comes.</w:t>
      </w:r>
    </w:p>
    <w:p>
      <w:pPr>
        <w:spacing w:after="80" w:before="200"/>
      </w:pPr>
      <w:r>
        <w:rPr>
          <w:b/>
          <w:bCs/>
          <w:color w:val="1F3B2C"/>
          <w:sz w:val="24"/>
          <w:szCs w:val="24"/>
        </w:rPr>
        <w:t xml:space="preserve">The dollar figure.</w:t>
      </w:r>
    </w:p>
    <w:p>
      <w:pPr>
        <w:spacing w:after="120" w:before="0"/>
        <w:jc w:val="left"/>
      </w:pPr>
      <w:r>
        <w:rPr>
          <w:sz w:val="22"/>
          <w:szCs w:val="22"/>
        </w:rPr>
        <w:t xml:space="preserve">The total revenue value of households declined during the year is tracked and reported at the annual review. This figure will over time become one of the most important cultural artifacts of the company, because it demonstrates in dollars per year that the covenant discipline is real. A company that has never declined a household has no answer when a House Manager asks whether she matters more than a specific dollar. A company with a documented pattern of declined revenue has the only answer that works.</w:t>
      </w:r>
    </w:p>
    <w:p>
      <w:pPr>
        <w:pStyle w:val="Heading2"/>
        <w:spacing w:after="120" w:before="280"/>
      </w:pPr>
      <w:r>
        <w:rPr>
          <w:b/>
          <w:bCs/>
          <w:color w:val="1F3B2C"/>
          <w:sz w:val="26"/>
          <w:szCs w:val="26"/>
        </w:rPr>
        <w:t xml:space="preserve">7. CROSS-REFERENCES</w:t>
      </w:r>
    </w:p>
    <w:p>
      <w:pPr>
        <w:pStyle w:val="ListParagraph"/>
        <w:numPr>
          <w:ilvl w:val="0"/>
          <w:numId w:val="1"/>
        </w:numPr>
        <w:spacing w:after="80"/>
      </w:pPr>
      <w:r>
        <w:rPr>
          <w:sz w:val="22"/>
          <w:szCs w:val="22"/>
        </w:rPr>
        <w:t xml:space="preserve">WK-STD-000 </w:t>
      </w:r>
      <w:r>
        <w:rPr>
          <w:sz w:val="22"/>
          <w:szCs w:val="22"/>
        </w:rPr>
        <w:t xml:space="preserve">: Constitution of Standards, Section 1 (tier floors).</w:t>
      </w:r>
    </w:p>
    <w:p>
      <w:pPr>
        <w:pStyle w:val="ListParagraph"/>
        <w:numPr>
          <w:ilvl w:val="0"/>
          <w:numId w:val="1"/>
        </w:numPr>
        <w:spacing w:after="80"/>
      </w:pPr>
      <w:r>
        <w:rPr>
          <w:sz w:val="22"/>
          <w:szCs w:val="22"/>
        </w:rPr>
        <w:t xml:space="preserve">WK-LEG-001 </w:t>
      </w:r>
      <w:r>
        <w:rPr>
          <w:sz w:val="22"/>
          <w:szCs w:val="22"/>
        </w:rPr>
        <w:t xml:space="preserve">: Membership Agreement, section 8, for ending an existing membership whose behavior moves into scope after acceptance.</w:t>
      </w:r>
    </w:p>
    <w:p>
      <w:pPr>
        <w:pStyle w:val="ListParagraph"/>
        <w:numPr>
          <w:ilvl w:val="0"/>
          <w:numId w:val="1"/>
        </w:numPr>
        <w:spacing w:after="80"/>
      </w:pPr>
      <w:r>
        <w:rPr>
          <w:sz w:val="22"/>
          <w:szCs w:val="22"/>
        </w:rPr>
        <w:t xml:space="preserve">WK-STD-025 </w:t>
      </w:r>
      <w:r>
        <w:rPr>
          <w:sz w:val="22"/>
          <w:szCs w:val="22"/>
        </w:rPr>
        <w:t xml:space="preserve">: Before, Not After: the forty-seven protective actions; several fit categories protect the capacity to deliver them.</w:t>
      </w:r>
    </w:p>
    <w:p>
      <w:pPr>
        <w:pStyle w:val="ListParagraph"/>
        <w:numPr>
          <w:ilvl w:val="0"/>
          <w:numId w:val="1"/>
        </w:numPr>
        <w:spacing w:after="80"/>
      </w:pPr>
      <w:r>
        <w:rPr>
          <w:sz w:val="22"/>
          <w:szCs w:val="22"/>
        </w:rPr>
        <w:t xml:space="preserve">WK-PLAY-003 Addendum C </w:t>
      </w:r>
      <w:r>
        <w:rPr>
          <w:sz w:val="22"/>
          <w:szCs w:val="22"/>
        </w:rPr>
        <w:t xml:space="preserve">: sole author of the three diagnostic intake questions and the Foundation Reset observation form this standard relies on.</w:t>
      </w:r>
    </w:p>
    <w:p>
      <w:pPr>
        <w:pStyle w:val="ListParagraph"/>
        <w:numPr>
          <w:ilvl w:val="0"/>
          <w:numId w:val="1"/>
        </w:numPr>
        <w:spacing w:after="80"/>
      </w:pPr>
      <w:r>
        <w:rPr>
          <w:sz w:val="22"/>
          <w:szCs w:val="22"/>
        </w:rPr>
        <w:t xml:space="preserve">WK-STD-029 (reserved) </w:t>
      </w:r>
      <w:r>
        <w:rPr>
          <w:sz w:val="22"/>
          <w:szCs w:val="22"/>
        </w:rPr>
        <w:t xml:space="preserve">: Household records under legal exposure; to be issued before the first D.C. founding conversation. Category 7 escalates to counsel directly until it exists.</w:t>
      </w:r>
    </w:p>
    <w:p>
      <w:pPr>
        <w:pStyle w:val="ListParagraph"/>
        <w:numPr>
          <w:ilvl w:val="0"/>
          <w:numId w:val="1"/>
        </w:numPr>
        <w:spacing w:after="80"/>
      </w:pPr>
      <w:r>
        <w:rPr>
          <w:sz w:val="22"/>
          <w:szCs w:val="22"/>
        </w:rPr>
        <w:t xml:space="preserve">WK-STD-028 </w:t>
      </w:r>
      <w:r>
        <w:rPr>
          <w:sz w:val="22"/>
          <w:szCs w:val="22"/>
        </w:rPr>
        <w:t xml:space="preserve">: Response Architecture and Member Communication Rhythm, referenced in Category 3.</w:t>
      </w:r>
    </w:p>
    <w:p>
      <w:pPr>
        <w:pStyle w:val="ListParagraph"/>
        <w:numPr>
          <w:ilvl w:val="0"/>
          <w:numId w:val="1"/>
        </w:numPr>
        <w:spacing w:after="80"/>
      </w:pPr>
      <w:r>
        <w:rPr>
          <w:sz w:val="22"/>
          <w:szCs w:val="22"/>
        </w:rPr>
        <w:t xml:space="preserve">WK-QA-018 </w:t>
      </w:r>
      <w:r>
        <w:rPr>
          <w:sz w:val="22"/>
          <w:szCs w:val="22"/>
        </w:rPr>
        <w:t xml:space="preserve">: Change register, where all declines, exceptions, and standard modifications are recorded.</w:t>
      </w:r>
    </w:p>
    <w:p>
      <w:pPr>
        <w:pStyle w:val="ListParagraph"/>
        <w:numPr>
          <w:ilvl w:val="0"/>
          <w:numId w:val="1"/>
        </w:numPr>
        <w:spacing w:after="80"/>
      </w:pPr>
      <w:r>
        <w:rPr>
          <w:sz w:val="22"/>
          <w:szCs w:val="22"/>
        </w:rPr>
        <w:t xml:space="preserve">WK-QA-019 </w:t>
      </w:r>
      <w:r>
        <w:rPr>
          <w:sz w:val="22"/>
          <w:szCs w:val="22"/>
        </w:rPr>
        <w:t xml:space="preserve">: Standing measures, where declined-revenue and exception-rate are tracked.</w:t>
      </w:r>
    </w:p>
    <w:p>
      <w:pPr>
        <w:pStyle w:val="Heading2"/>
        <w:spacing w:after="120" w:before="280"/>
      </w:pPr>
      <w:r>
        <w:rPr>
          <w:b/>
          <w:bCs/>
          <w:color w:val="1F3B2C"/>
          <w:sz w:val="26"/>
          <w:szCs w:val="26"/>
        </w:rPr>
        <w:t xml:space="preserve">8. REGISTER ENTRY</w:t>
      </w:r>
    </w:p>
    <w:p>
      <w:pPr>
        <w:spacing w:after="120" w:before="0"/>
        <w:jc w:val="left"/>
      </w:pPr>
      <w:r>
        <w:rPr>
          <w:sz w:val="22"/>
          <w:szCs w:val="22"/>
        </w:rPr>
        <w:t xml:space="preserve">This standard is entered as WK-STD-027 v1.0, issued under founder direction; WK-SOP-026 justification: gates founding-cohort intake. Adoption is by CEO sign-off. First annual review is January 2028.</w:t>
      </w:r>
    </w:p>
    <w:p>
      <w:pPr>
        <w:pBdr>
          <w:bottom w:val="single" w:color="1F3B2C" w:sz="6" w:space="1"/>
        </w:pBdr>
        <w:spacing w:after="120" w:before="120"/>
      </w:pPr>
      <w:r>
        <w:rPr>
          <w:sz w:val="22"/>
          <w:szCs w:val="22"/>
        </w:rPr>
        <w:t xml:space="preserve"/>
      </w:r>
    </w:p>
    <w:p>
      <w:pPr>
        <w:spacing w:after="120" w:before="0"/>
        <w:jc w:val="center"/>
      </w:pPr>
      <w:r>
        <w:rPr>
          <w:i/>
          <w:iCs/>
          <w:sz w:val="22"/>
          <w:szCs w:val="22"/>
        </w:rPr>
        <w:t xml:space="preserve">Well Kept turns away revenue every year because the covenants are the asset. This standard is the specific mechanism by which that discipline is exercised.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2026-08-05T22:07:36.879Z</dcterms:created>
  <dcterms:modified xsi:type="dcterms:W3CDTF">2026-08-05T22:07:36.891Z</dcterms:modified>
</cp:coreProperties>
</file>

<file path=docProps/custom.xml><?xml version="1.0" encoding="utf-8"?>
<Properties xmlns="http://schemas.openxmlformats.org/officeDocument/2006/custom-properties" xmlns:vt="http://schemas.openxmlformats.org/officeDocument/2006/docPropsVTypes"/>
</file>