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B2C"/>
          <w:sz w:val="32"/>
          <w:szCs w:val="32"/>
        </w:rPr>
        <w:t xml:space="preserve">WELL KEPT</w:t>
      </w:r>
    </w:p>
    <w:p>
      <w:pPr>
        <w:spacing w:after="40"/>
        <w:jc w:val="center"/>
      </w:pPr>
      <w:r>
        <w:rPr>
          <w:b/>
          <w:bCs/>
          <w:sz w:val="28"/>
          <w:szCs w:val="28"/>
        </w:rPr>
        <w:t xml:space="preserve">The Four-Stage Application Spec</w:t>
      </w:r>
    </w:p>
    <w:p>
      <w:pPr>
        <w:spacing w:after="80"/>
        <w:jc w:val="center"/>
      </w:pPr>
      <w:r>
        <w:rPr>
          <w:i/>
          <w:iCs/>
          <w:sz w:val="22"/>
          <w:szCs w:val="22"/>
        </w:rPr>
        <w:t xml:space="preserve">Anticipation, identification, decision, monitoring: the schema applied to the Playbook, the intake, and the software</w:t>
      </w:r>
    </w:p>
    <w:p>
      <w:pPr>
        <w:spacing w:after="60"/>
        <w:jc w:val="center"/>
      </w:pPr>
      <w:r>
        <w:rPr>
          <w:i/>
          <w:iCs/>
          <w:color w:val="555555"/>
          <w:sz w:val="18"/>
          <w:szCs w:val="18"/>
        </w:rPr>
        <w:t xml:space="preserve">Version 1.0 ADOPTED by founder ruling, 2 August 2026 (A121) | Owner: Rachel Letters, CEO | Companion: the Anticipation Thesis (A119)</w:t>
      </w:r>
    </w:p>
    <w:p>
      <w:pPr>
        <w:spacing w:after="60"/>
        <w:jc w:val="center"/>
      </w:pPr>
      <w:r>
        <w:rPr>
          <w:i/>
          <w:iCs/>
          <w:color w:val="555555"/>
          <w:sz w:val="18"/>
          <w:szCs w:val="18"/>
        </w:rPr>
        <w:t xml:space="preserve">Intake questions live in WK-PLAY-003 Addendum C v1.2, the sole author; software items queued via WK-QA-015 behind the AR gate; paper through the pilot</w:t>
      </w:r>
    </w:p>
    <w:p>
      <w:pPr>
        <w:pBdr>
          <w:bottom w:val="single" w:color="1F3B2C" w:sz="6" w:space="1"/>
        </w:pBdr>
        <w:spacing w:after="120" w:before="120"/>
      </w:pPr>
      <w:r>
        <w:rPr>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5F1E8" w:color="auto" w:val="clear"/>
            <w:tcMar>
              <w:top w:type="dxa" w:w="180"/>
              <w:left w:type="dxa" w:w="220"/>
              <w:bottom w:type="dxa" w:w="180"/>
              <w:right w:type="dxa" w:w="220"/>
            </w:tcMar>
          </w:tcPr>
          <w:p>
            <w:pPr>
              <w:spacing w:after="110"/>
              <w:jc w:val="left"/>
            </w:pPr>
            <w:r>
              <w:rPr>
                <w:i/>
                <w:iCs/>
                <w:sz w:val="22"/>
                <w:szCs w:val="22"/>
              </w:rPr>
              <w:t xml:space="preserve">The stage audit of the existing architecture: rich in anticipation (the Temporal Layer, the horizons, repeat-season memory), solid in identification (preferences, catalogs, the bench), strong in monitoring (zone scores, reports, workflow states), and thin in exactly one place, codified decision rights. This spec closes that gap and gives all three artifacts one organizing schema, so that 'returned decision' stops being philosophy and becomes a computable routing rule.</w:t>
            </w:r>
          </w:p>
        </w:tc>
      </w:tr>
    </w:tbl>
    <w:p>
      <w:pPr>
        <w:spacing w:after="110"/>
        <w:jc w:val="left"/>
      </w:pPr>
      <w:r>
        <w:rPr>
          <w:sz w:val="22"/>
          <w:szCs w:val="22"/>
        </w:rPr>
        <w:t xml:space="preserve"/>
      </w:r>
    </w:p>
    <w:p>
      <w:pPr>
        <w:spacing w:after="80" w:before="220"/>
      </w:pPr>
      <w:r>
        <w:rPr>
          <w:b/>
          <w:bCs/>
          <w:color w:val="1F3B2C"/>
          <w:sz w:val="24"/>
          <w:szCs w:val="24"/>
        </w:rPr>
        <w:t xml:space="preserve">1. The Playbook: the Decision Rights block</w:t>
      </w:r>
    </w:p>
    <w:p>
      <w:pPr>
        <w:spacing w:after="110"/>
        <w:jc w:val="left"/>
      </w:pPr>
      <w:r>
        <w:rPr>
          <w:sz w:val="22"/>
          <w:szCs w:val="22"/>
        </w:rPr>
        <w:t xml:space="preserve">A new Playbook section, member-authored with provenance like every field, revisited at each quarterly review. Its contents:</w:t>
      </w:r>
    </w:p>
    <w:p>
      <w:pPr>
        <w:pStyle w:val="ListParagraph"/>
        <w:numPr>
          <w:ilvl w:val="0"/>
          <w:numId w:val="1"/>
        </w:numPr>
        <w:spacing w:after="70"/>
      </w:pPr>
      <w:r>
        <w:rPr>
          <w:b/>
          <w:bCs/>
          <w:sz w:val="22"/>
          <w:szCs w:val="22"/>
        </w:rPr>
        <w:t xml:space="preserve">Thresholds by category. </w:t>
      </w:r>
      <w:r>
        <w:rPr>
          <w:sz w:val="22"/>
          <w:szCs w:val="22"/>
        </w:rPr>
        <w:t xml:space="preserve">The amount below which the company handles and reports after: restocks, replacements, repairs, scheduling inside the rhythm. One general threshold with per-category overrides where the household differentiates.</w:t>
      </w:r>
    </w:p>
    <w:p>
      <w:pPr>
        <w:pStyle w:val="ListParagraph"/>
        <w:numPr>
          <w:ilvl w:val="0"/>
          <w:numId w:val="1"/>
        </w:numPr>
        <w:spacing w:after="70"/>
      </w:pPr>
      <w:r>
        <w:rPr>
          <w:b/>
          <w:bCs/>
          <w:sz w:val="22"/>
          <w:szCs w:val="22"/>
        </w:rPr>
        <w:t xml:space="preserve">The propose-first list. </w:t>
      </w:r>
      <w:r>
        <w:rPr>
          <w:sz w:val="22"/>
          <w:szCs w:val="22"/>
        </w:rPr>
        <w:t xml:space="preserve">Categories where options come to the household before any action, in the household's chosen mode: two options, or one recommendation with reasoning.</w:t>
      </w:r>
    </w:p>
    <w:p>
      <w:pPr>
        <w:pStyle w:val="ListParagraph"/>
        <w:numPr>
          <w:ilvl w:val="0"/>
          <w:numId w:val="1"/>
        </w:numPr>
        <w:spacing w:after="70"/>
      </w:pPr>
      <w:r>
        <w:rPr>
          <w:b/>
          <w:bCs/>
          <w:sz w:val="22"/>
          <w:szCs w:val="22"/>
        </w:rPr>
        <w:t xml:space="preserve">The never-decide list. </w:t>
      </w:r>
      <w:r>
        <w:rPr>
          <w:sz w:val="22"/>
          <w:szCs w:val="22"/>
        </w:rPr>
        <w:t xml:space="preserve">Recorded verbatim from intake, honored absolutely, edited only by the household.</w:t>
      </w:r>
    </w:p>
    <w:p>
      <w:pPr>
        <w:pStyle w:val="ListParagraph"/>
        <w:numPr>
          <w:ilvl w:val="0"/>
          <w:numId w:val="1"/>
        </w:numPr>
        <w:spacing w:after="70"/>
      </w:pPr>
      <w:r>
        <w:rPr>
          <w:b/>
          <w:bCs/>
          <w:sz w:val="22"/>
          <w:szCs w:val="22"/>
        </w:rPr>
        <w:t xml:space="preserve">Standing approvals with expiry. </w:t>
      </w:r>
      <w:r>
        <w:rPr>
          <w:sz w:val="22"/>
          <w:szCs w:val="22"/>
        </w:rPr>
        <w:t xml:space="preserve">Pre-authorized recurring decisions (the annual mulch order, the filter subscription, the teacher-gift rotation), each carrying a review date so no standing approval outlives its intent.</w:t>
      </w:r>
    </w:p>
    <w:p>
      <w:pPr>
        <w:pStyle w:val="ListParagraph"/>
        <w:numPr>
          <w:ilvl w:val="0"/>
          <w:numId w:val="1"/>
        </w:numPr>
        <w:spacing w:after="70"/>
      </w:pPr>
      <w:r>
        <w:rPr>
          <w:b/>
          <w:bCs/>
          <w:sz w:val="22"/>
          <w:szCs w:val="22"/>
        </w:rPr>
        <w:t xml:space="preserve">The authority map. </w:t>
      </w:r>
      <w:r>
        <w:rPr>
          <w:sz w:val="22"/>
          <w:szCs w:val="22"/>
        </w:rPr>
        <w:t xml:space="preserve">Zone-level standard-setters from AddC Section 3, joined to partner routing from Section 4, with the household's own stated tie-resolution when two authorities differ.</w:t>
      </w:r>
    </w:p>
    <w:p>
      <w:pPr>
        <w:pStyle w:val="ListParagraph"/>
        <w:numPr>
          <w:ilvl w:val="0"/>
          <w:numId w:val="1"/>
        </w:numPr>
        <w:spacing w:after="70"/>
      </w:pPr>
      <w:r>
        <w:rPr>
          <w:b/>
          <w:bCs/>
          <w:sz w:val="22"/>
          <w:szCs w:val="22"/>
        </w:rPr>
        <w:t xml:space="preserve">Cadence and mode. </w:t>
      </w:r>
      <w:r>
        <w:rPr>
          <w:sz w:val="22"/>
          <w:szCs w:val="22"/>
        </w:rPr>
        <w:t xml:space="preserve">Batched weekly or as-they-arise; two options or one recommendation; captured once, honored everywhere.</w:t>
      </w:r>
    </w:p>
    <w:p>
      <w:pPr>
        <w:spacing w:after="80" w:before="220"/>
      </w:pPr>
      <w:r>
        <w:rPr>
          <w:b/>
          <w:bCs/>
          <w:color w:val="1F3B2C"/>
          <w:sz w:val="24"/>
          <w:szCs w:val="24"/>
        </w:rPr>
        <w:t xml:space="preserve">2. The intake: two blocks added, one framing sentence</w:t>
      </w:r>
    </w:p>
    <w:p>
      <w:pPr>
        <w:spacing w:after="110"/>
        <w:jc w:val="left"/>
      </w:pPr>
      <w:r>
        <w:rPr>
          <w:sz w:val="22"/>
          <w:szCs w:val="22"/>
        </w:rPr>
        <w:t xml:space="preserve">The decision-style block and the monitoring-style block are now Sections 4 and 5 of WK-PLAY-003 Addendum C v1.2, issued with this spec: the threshold, the mode, the cadence, the routing asked of both partners, the never-decide list offered openly, and the report-appetite question with its three honest answers. The intake framing sentence, for the guide: this conversation teaches the record to run your household's four stages, and the only stage we will never take from you is the choosing.</w:t>
      </w:r>
    </w:p>
    <w:p>
      <w:pPr>
        <w:spacing w:after="80" w:before="220"/>
      </w:pPr>
      <w:r>
        <w:rPr>
          <w:b/>
          <w:bCs/>
          <w:color w:val="1F3B2C"/>
          <w:sz w:val="24"/>
          <w:szCs w:val="24"/>
        </w:rPr>
        <w:t xml:space="preserve">3. The software: the pipeline, the tag, and the measure</w:t>
      </w:r>
    </w:p>
    <w:p>
      <w:pPr>
        <w:spacing w:after="60" w:before="150"/>
      </w:pPr>
      <w:r>
        <w:rPr>
          <w:b/>
          <w:bCs/>
          <w:color w:val="1F3B2C"/>
          <w:sz w:val="22"/>
          <w:szCs w:val="22"/>
        </w:rPr>
        <w:t xml:space="preserve">The pipeline as state machine.</w:t>
      </w:r>
    </w:p>
    <w:p>
      <w:pPr>
        <w:spacing w:after="110"/>
        <w:jc w:val="left"/>
      </w:pPr>
      <w:r>
        <w:rPr>
          <w:sz w:val="22"/>
          <w:szCs w:val="22"/>
        </w:rPr>
        <w:t xml:space="preserve">Every household need flows anticipation, identification, decision-routing, execution, monitoring as explicit states. A trigger fires; options assemble from the catalogs and the bench; the Decision Rights block acts as the ROUTING TABLE: below-threshold items auto-execute and log in full, propose-first items enter the decision inbox, never-decide items block until the household speaks. This unifies the trigger engine, the proposal protocol, and the reporting layer into one legible pipeline, and it is the natural post-AR requirements block, proposed through WK-QA-015 when its turn comes.</w:t>
      </w:r>
    </w:p>
    <w:p>
      <w:pPr>
        <w:spacing w:after="60" w:before="150"/>
      </w:pPr>
      <w:r>
        <w:rPr>
          <w:b/>
          <w:bCs/>
          <w:color w:val="1F3B2C"/>
          <w:sz w:val="22"/>
          <w:szCs w:val="22"/>
        </w:rPr>
        <w:t xml:space="preserve">The decision inbox.</w:t>
      </w:r>
    </w:p>
    <w:p>
      <w:pPr>
        <w:spacing w:after="110"/>
        <w:jc w:val="left"/>
      </w:pPr>
      <w:r>
        <w:rPr>
          <w:sz w:val="22"/>
          <w:szCs w:val="22"/>
        </w:rPr>
        <w:t xml:space="preserve">A member surface containing ONLY real decisions, each framed in that household's chosen mode, batched at their chosen cadence, and phrased per the demand architecture. The one-decision ask as a product surface: everything in it matters, nothing in it is noise, and its emptiness on a quiet week is the product working.</w:t>
      </w:r>
    </w:p>
    <w:p>
      <w:pPr>
        <w:spacing w:after="60" w:before="150"/>
      </w:pPr>
      <w:r>
        <w:rPr>
          <w:b/>
          <w:bCs/>
          <w:color w:val="1F3B2C"/>
          <w:sz w:val="22"/>
          <w:szCs w:val="22"/>
        </w:rPr>
        <w:t xml:space="preserve">The stage tag.</w:t>
      </w:r>
    </w:p>
    <w:p>
      <w:pPr>
        <w:spacing w:after="110"/>
        <w:jc w:val="left"/>
      </w:pPr>
      <w:r>
        <w:rPr>
          <w:sz w:val="22"/>
          <w:szCs w:val="22"/>
        </w:rPr>
        <w:t xml:space="preserve">Every trigger, prompt-pack item, requirement, and queue item carries its stage as an enum: anticipate, identify, decide, monitor. One cheap column that mechanizes the roadmap test from the Anticipation Thesis: features tagged anticipate, identify, or monitor are presumptively good; anything tagged decide receives the returned-choice design review before it ships, and a feature that takes decisions from the household fails the thesis and is redesigned.</w:t>
      </w:r>
    </w:p>
    <w:p>
      <w:pPr>
        <w:spacing w:after="60" w:before="150"/>
      </w:pPr>
      <w:r>
        <w:rPr>
          <w:b/>
          <w:bCs/>
          <w:color w:val="1F3B2C"/>
          <w:sz w:val="22"/>
          <w:szCs w:val="22"/>
        </w:rPr>
        <w:t xml:space="preserve">The measure: M-25.</w:t>
      </w:r>
    </w:p>
    <w:p>
      <w:pPr>
        <w:spacing w:after="110"/>
        <w:jc w:val="left"/>
      </w:pPr>
      <w:r>
        <w:rPr>
          <w:sz w:val="22"/>
          <w:szCs w:val="22"/>
        </w:rPr>
        <w:t xml:space="preserve">Decisions surfaced per household per week: the product's own load measurement, expected LOW AND FALLING as the record learns each household, measurable from the pipeline for free. Supporting reads, internal only: the auto-executed-to-asked ratio, and whether monitoring artifacts are opened, calibrating report style against revealed behavior, gently and never punitively. M-25 joins WK-QA-019 with this spec.</w:t>
      </w:r>
    </w:p>
    <w:p>
      <w:pPr>
        <w:spacing w:after="80" w:before="220"/>
      </w:pPr>
      <w:r>
        <w:rPr>
          <w:b/>
          <w:bCs/>
          <w:color w:val="1F3B2C"/>
          <w:sz w:val="24"/>
          <w:szCs w:val="24"/>
        </w:rPr>
        <w:t xml:space="preserve">4. The House Manager's morning page</w:t>
      </w:r>
    </w:p>
    <w:p>
      <w:pPr>
        <w:spacing w:after="110"/>
        <w:jc w:val="left"/>
      </w:pPr>
      <w:r>
        <w:rPr>
          <w:sz w:val="22"/>
          <w:szCs w:val="22"/>
        </w:rPr>
        <w:t xml:space="preserve">The briefing inherits the same four movements: what is coming (anticipation in window), what is prepared (identification done), what needs the member (the decision inbox's current state), and what to verify (monitoring due). Four short sections, the stages as her working day, which is also the training frame from the thesis made daily.</w:t>
      </w:r>
    </w:p>
    <w:p>
      <w:pPr>
        <w:spacing w:after="80" w:before="220"/>
      </w:pPr>
      <w:r>
        <w:rPr>
          <w:b/>
          <w:bCs/>
          <w:color w:val="1F3B2C"/>
          <w:sz w:val="24"/>
          <w:szCs w:val="24"/>
        </w:rPr>
        <w:t xml:space="preserve">5. Guardrails, unchanged and restated</w:t>
      </w:r>
    </w:p>
    <w:p>
      <w:pPr>
        <w:pStyle w:val="ListParagraph"/>
        <w:numPr>
          <w:ilvl w:val="0"/>
          <w:numId w:val="1"/>
        </w:numPr>
        <w:spacing w:after="70"/>
      </w:pPr>
      <w:r>
        <w:rPr>
          <w:sz w:val="22"/>
          <w:szCs w:val="22"/>
        </w:rPr>
        <w:t xml:space="preserve">Stage tags are internal; no member surface ever displays the schema.</w:t>
      </w:r>
    </w:p>
    <w:p>
      <w:pPr>
        <w:pStyle w:val="ListParagraph"/>
        <w:numPr>
          <w:ilvl w:val="0"/>
          <w:numId w:val="1"/>
        </w:numPr>
        <w:spacing w:after="70"/>
      </w:pPr>
      <w:r>
        <w:rPr>
          <w:sz w:val="22"/>
          <w:szCs w:val="22"/>
        </w:rPr>
        <w:t xml:space="preserve">Decision Rights changes are member-authored with provenance; the company proposes recalibration only from revealed behavior, gently, at reviews.</w:t>
      </w:r>
    </w:p>
    <w:p>
      <w:pPr>
        <w:pStyle w:val="ListParagraph"/>
        <w:numPr>
          <w:ilvl w:val="0"/>
          <w:numId w:val="1"/>
        </w:numPr>
        <w:spacing w:after="70"/>
      </w:pPr>
      <w:r>
        <w:rPr>
          <w:sz w:val="22"/>
          <w:szCs w:val="22"/>
        </w:rPr>
        <w:t xml:space="preserve">Every auto-execution logs completely: anticipation's autonomy is always covered by monitoring's proof.</w:t>
      </w:r>
    </w:p>
    <w:p>
      <w:pPr>
        <w:pStyle w:val="ListParagraph"/>
        <w:numPr>
          <w:ilvl w:val="0"/>
          <w:numId w:val="1"/>
        </w:numPr>
        <w:spacing w:after="70"/>
      </w:pPr>
      <w:r>
        <w:rPr>
          <w:sz w:val="22"/>
          <w:szCs w:val="22"/>
        </w:rPr>
        <w:t xml:space="preserve">The learning membrane governs: thresholds and styles are household facts; only the pattern of the pipeline itself generalizes.</w:t>
      </w:r>
    </w:p>
    <w:p>
      <w:pPr>
        <w:spacing w:after="80" w:before="220"/>
      </w:pPr>
      <w:r>
        <w:rPr>
          <w:b/>
          <w:bCs/>
          <w:color w:val="1F3B2C"/>
          <w:sz w:val="24"/>
          <w:szCs w:val="24"/>
        </w:rPr>
        <w:t xml:space="preserve">6. The pilot version</w:t>
      </w:r>
    </w:p>
    <w:p>
      <w:pPr>
        <w:spacing w:after="110"/>
        <w:jc w:val="left"/>
      </w:pPr>
      <w:r>
        <w:rPr>
          <w:sz w:val="22"/>
          <w:szCs w:val="22"/>
        </w:rPr>
        <w:t xml:space="preserve">One more page in the binder (the Decision Rights block), five more minutes at intake (the two blocks), and a tally mark for M-25 at each week's close. The founder running fifteen households on paper is the pipeline's reference implementation, and the thresholds she records are the routing table the platform will one day merely enforce.</w:t>
      </w:r>
    </w:p>
    <w:p>
      <w:pPr>
        <w:pBdr>
          <w:bottom w:val="single" w:color="1F3B2C" w:sz="6" w:space="1"/>
        </w:pBdr>
        <w:spacing w:after="120" w:before="120"/>
      </w:pPr>
      <w:r>
        <w:rPr>
          <w:sz w:val="22"/>
          <w:szCs w:val="22"/>
        </w:rPr>
        <w:t xml:space="preserve"/>
      </w:r>
    </w:p>
    <w:p>
      <w:pPr>
        <w:spacing w:after="110"/>
        <w:jc w:val="center"/>
      </w:pPr>
      <w:r>
        <w:rPr>
          <w:i/>
          <w:iCs/>
          <w:sz w:val="22"/>
          <w:szCs w:val="22"/>
        </w:rPr>
        <w:t xml:space="preserve">Anticipate in the record, identify in the catalog, decide in the household, verify in the open. The four stages were always the job; now they are the schema.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2026-08-05T22:07:37.482Z</dcterms:created>
  <dcterms:modified xsi:type="dcterms:W3CDTF">2026-08-05T22:07:37.482Z</dcterms:modified>
</cp:coreProperties>
</file>

<file path=docProps/custom.xml><?xml version="1.0" encoding="utf-8"?>
<Properties xmlns="http://schemas.openxmlformats.org/officeDocument/2006/custom-properties" xmlns:vt="http://schemas.openxmlformats.org/officeDocument/2006/docPropsVTypes"/>
</file>