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3864"/>
          <w:sz w:val="22"/>
          <w:szCs w:val="22"/>
        </w:rPr>
        <w:t xml:space="preserve">Challenge-Based Acquisition Models</w:t>
      </w:r>
    </w:p>
    <w:p>
      <w:pPr>
        <w:spacing w:after="300" w:before="120"/>
      </w:pPr>
      <w:r>
        <w:rPr>
          <w:rFonts w:ascii="Calibri" w:cs="Calibri" w:eastAsia="Calibri" w:hAnsi="Calibri"/>
          <w:color w:val="2E5496"/>
          <w:sz w:val="22"/>
          <w:szCs w:val="22"/>
        </w:rPr>
        <w:t xml:space="preserve">Federal, State, and Local Reference Compendium</w:t>
      </w:r>
    </w:p>
    <w:p>
      <w:pPr>
        <w:pBdr>
          <w:top w:val="single" w:color="2E5496" w:sz="12" w:space="10"/>
        </w:pBdr>
        <w:spacing w:after="60"/>
      </w:pPr>
      <w:r>
        <w:t xml:space="preserve"/>
      </w:r>
    </w:p>
    <w:p>
      <w:pPr>
        <w:spacing w:after="60" w:line="276"/>
      </w:pPr>
      <w:r>
        <w:rPr>
          <w:rFonts w:ascii="Calibri" w:cs="Calibri" w:eastAsia="Calibri" w:hAnsi="Calibri"/>
          <w:sz w:val="22"/>
          <w:szCs w:val="22"/>
        </w:rPr>
        <w:t xml:space="preserve">Prepared as a reference source for the City of Kansas City, Missouri</w:t>
      </w:r>
    </w:p>
    <w:p>
      <w:pPr>
        <w:spacing w:after="400" w:line="276"/>
      </w:pPr>
      <w:r>
        <w:rPr>
          <w:rFonts w:ascii="Calibri" w:cs="Calibri" w:eastAsia="Calibri" w:hAnsi="Calibri"/>
          <w:sz w:val="22"/>
          <w:szCs w:val="22"/>
        </w:rPr>
        <w:t xml:space="preserve">Public Innovation Challenge program</w:t>
      </w:r>
    </w:p>
    <w:p>
      <w:pPr>
        <w:spacing w:after="1200" w:line="276"/>
      </w:pPr>
      <w:r>
        <w:rPr>
          <w:rFonts w:ascii="Calibri" w:cs="Calibri" w:eastAsia="Calibri" w:hAnsi="Calibri"/>
          <w:color w:val="595959"/>
          <w:sz w:val="22"/>
          <w:szCs w:val="22"/>
        </w:rPr>
        <w:t xml:space="preserve">Version 1.0  •  August 2026</w:t>
      </w:r>
    </w:p>
    <w:p>
      <w:pPr>
        <w:pBdr>
          <w:left w:val="single" w:color="2E5496" w:sz="18" w:space="8"/>
        </w:pBdr>
        <w:shd w:fill="F2F5FA" w:val="clear"/>
        <w:spacing w:after="160" w:before="140" w:line="276"/>
        <w:ind w:left="120" w:right="120"/>
      </w:pPr>
      <w:r>
        <w:rPr>
          <w:rFonts w:ascii="Calibri" w:cs="Calibri" w:eastAsia="Calibri" w:hAnsi="Calibri"/>
          <w:i/>
          <w:iCs/>
          <w:sz w:val="22"/>
          <w:szCs w:val="22"/>
        </w:rPr>
        <w:t xml:space="preserve">Scope and status. This document compiles acquisition models in which a government defines an operational need, limits its initial commitment, evaluates demonstrated performance, and expands only as evidence develops. Federal and out-of-state entries are reference models only. They are not legal authority for a Missouri municipality. Items marked "Verify with Law" require confirmation by the City Law Department before use in any binding document.</w:t>
      </w:r>
    </w:p>
    <w:p>
      <w:r>
        <w:br w:type="page"/>
      </w:r>
    </w:p>
    <w:p>
      <w:pPr>
        <w:pStyle w:val="Heading1"/>
        <w:spacing w:after="160" w:before="360"/>
      </w:pPr>
      <w:r>
        <w:rPr>
          <w:rFonts w:ascii="Calibri" w:cs="Calibri" w:eastAsia="Calibri" w:hAnsi="Calibri"/>
          <w:b/>
          <w:bCs/>
          <w:color w:val="1F3864"/>
          <w:sz w:val="22"/>
          <w:szCs w:val="22"/>
        </w:rPr>
        <w:t xml:space="preserve">1. How to use this document</w:t>
      </w:r>
    </w:p>
    <w:p>
      <w:pPr>
        <w:spacing w:after="120" w:line="276"/>
      </w:pPr>
      <w:r>
        <w:rPr>
          <w:rFonts w:ascii="Calibri" w:cs="Calibri" w:eastAsia="Calibri" w:hAnsi="Calibri"/>
          <w:sz w:val="22"/>
          <w:szCs w:val="22"/>
        </w:rPr>
        <w:t xml:space="preserve">This compendium is organized so that each model can be read independently. Every entry follows the same structure: the legal instrument or authority, the mechanism it creates, what it establishes as precedent, and its relevance to a municipal challenge program.</w:t>
      </w:r>
    </w:p>
    <w:p>
      <w:pPr>
        <w:spacing w:after="120" w:line="276"/>
      </w:pPr>
      <w:r>
        <w:rPr>
          <w:rFonts w:ascii="Calibri" w:cs="Calibri" w:eastAsia="Calibri" w:hAnsi="Calibri"/>
          <w:sz w:val="22"/>
          <w:szCs w:val="22"/>
        </w:rPr>
        <w:t xml:space="preserve">Three tiers are presented, and the distinction between them matters:</w:t>
      </w:r>
    </w:p>
    <w:p>
      <w:pPr>
        <w:pStyle w:val="ListParagraph"/>
        <w:numPr>
          <w:ilvl w:val="0"/>
          <w:numId w:val="2"/>
        </w:numPr>
        <w:spacing w:after="80" w:line="276"/>
      </w:pPr>
      <w:r>
        <w:rPr>
          <w:rFonts w:ascii="Calibri" w:cs="Calibri" w:eastAsia="Calibri" w:hAnsi="Calibri"/>
          <w:b/>
          <w:bCs/>
          <w:sz w:val="22"/>
          <w:szCs w:val="22"/>
        </w:rPr>
        <w:t xml:space="preserve">Federal models: </w:t>
      </w:r>
      <w:r>
        <w:rPr>
          <w:rFonts w:ascii="Calibri" w:cs="Calibri" w:eastAsia="Calibri" w:hAnsi="Calibri"/>
          <w:sz w:val="22"/>
          <w:szCs w:val="22"/>
        </w:rPr>
        <w:t xml:space="preserve">mature, well-documented, and the source of most staged-acquisition doctrine. They carry no authority for a city but supply tested design patterns.</w:t>
      </w:r>
    </w:p>
    <w:p>
      <w:pPr>
        <w:pStyle w:val="ListParagraph"/>
        <w:numPr>
          <w:ilvl w:val="0"/>
          <w:numId w:val="2"/>
        </w:numPr>
        <w:spacing w:after="80" w:line="276"/>
      </w:pPr>
      <w:r>
        <w:rPr>
          <w:rFonts w:ascii="Calibri" w:cs="Calibri" w:eastAsia="Calibri" w:hAnsi="Calibri"/>
          <w:b/>
          <w:bCs/>
          <w:sz w:val="22"/>
          <w:szCs w:val="22"/>
        </w:rPr>
        <w:t xml:space="preserve">State models: </w:t>
      </w:r>
      <w:r>
        <w:rPr>
          <w:rFonts w:ascii="Calibri" w:cs="Calibri" w:eastAsia="Calibri" w:hAnsi="Calibri"/>
          <w:sz w:val="22"/>
          <w:szCs w:val="22"/>
        </w:rPr>
        <w:t xml:space="preserve">relevant chiefly for the procurement law that constrains local government, and for peer-state innovation programs.</w:t>
      </w:r>
    </w:p>
    <w:p>
      <w:pPr>
        <w:pStyle w:val="ListParagraph"/>
        <w:numPr>
          <w:ilvl w:val="0"/>
          <w:numId w:val="2"/>
        </w:numPr>
        <w:spacing w:after="80" w:line="276"/>
      </w:pPr>
      <w:r>
        <w:rPr>
          <w:rFonts w:ascii="Calibri" w:cs="Calibri" w:eastAsia="Calibri" w:hAnsi="Calibri"/>
          <w:b/>
          <w:bCs/>
          <w:sz w:val="22"/>
          <w:szCs w:val="22"/>
        </w:rPr>
        <w:t xml:space="preserve">Local and municipal models: </w:t>
      </w:r>
      <w:r>
        <w:rPr>
          <w:rFonts w:ascii="Calibri" w:cs="Calibri" w:eastAsia="Calibri" w:hAnsi="Calibri"/>
          <w:sz w:val="22"/>
          <w:szCs w:val="22"/>
        </w:rPr>
        <w:t xml:space="preserve">the most directly transferable, because they operate under comparable constraints, budgets, and staff capacity.</w:t>
      </w:r>
    </w:p>
    <w:p>
      <w:pPr>
        <w:pBdr>
          <w:left w:val="single" w:color="2E5496" w:sz="18" w:space="8"/>
        </w:pBdr>
        <w:shd w:fill="F2F5FA" w:val="clear"/>
        <w:spacing w:after="160" w:before="140" w:line="276"/>
        <w:ind w:left="120" w:right="120"/>
      </w:pPr>
      <w:r>
        <w:rPr>
          <w:rFonts w:ascii="Calibri" w:cs="Calibri" w:eastAsia="Calibri" w:hAnsi="Calibri"/>
          <w:i/>
          <w:iCs/>
          <w:sz w:val="22"/>
          <w:szCs w:val="22"/>
        </w:rPr>
        <w:t xml:space="preserve">A note on authority. A city's authority to run a challenge comes from its own charter, ordinances, and procurement rules. Federal precedent explains why a staged structure is sound practice; it does not make one lawful. Treat every federal citation in this document as design rationale, not as permission.</w:t>
      </w:r>
    </w:p>
    <w:p>
      <w:pPr>
        <w:pStyle w:val="Heading1"/>
        <w:spacing w:after="160" w:before="360"/>
      </w:pPr>
      <w:r>
        <w:rPr>
          <w:rFonts w:ascii="Calibri" w:cs="Calibri" w:eastAsia="Calibri" w:hAnsi="Calibri"/>
          <w:b/>
          <w:bCs/>
          <w:color w:val="1F3864"/>
          <w:sz w:val="22"/>
          <w:szCs w:val="22"/>
        </w:rPr>
        <w:t xml:space="preserve">2. The common pattern</w:t>
      </w:r>
    </w:p>
    <w:p>
      <w:pPr>
        <w:spacing w:after="120" w:line="276"/>
      </w:pPr>
      <w:r>
        <w:rPr>
          <w:rFonts w:ascii="Calibri" w:cs="Calibri" w:eastAsia="Calibri" w:hAnsi="Calibri"/>
          <w:sz w:val="22"/>
          <w:szCs w:val="22"/>
        </w:rPr>
        <w:t xml:space="preserve">Across all three tiers, the models share a single discipline. Stated plainly:</w:t>
      </w:r>
    </w:p>
    <w:p>
      <w:pPr>
        <w:pBdr>
          <w:top w:val="single" w:color="2E5496" w:sz="8" w:space="10"/>
          <w:bottom w:val="single" w:color="2E5496" w:sz="8" w:space="10"/>
        </w:pBdr>
        <w:shd w:fill="EAF0F8" w:val="clear"/>
        <w:spacing w:after="200" w:before="160"/>
        <w:jc w:val="center"/>
      </w:pPr>
      <w:r>
        <w:rPr>
          <w:rFonts w:ascii="Calibri" w:cs="Calibri" w:eastAsia="Calibri" w:hAnsi="Calibri"/>
          <w:b/>
          <w:bCs/>
          <w:color w:val="1F3864"/>
          <w:sz w:val="22"/>
          <w:szCs w:val="22"/>
        </w:rPr>
        <w:t xml:space="preserve">Define the need. Limit the first commitment. Evaluate the evidence. Expand only after performance is demonstrated.</w:t>
      </w:r>
    </w:p>
    <w:p>
      <w:pPr>
        <w:spacing w:after="120" w:line="276"/>
      </w:pPr>
      <w:r>
        <w:rPr>
          <w:rFonts w:ascii="Calibri" w:cs="Calibri" w:eastAsia="Calibri" w:hAnsi="Calibri"/>
          <w:sz w:val="22"/>
          <w:szCs w:val="22"/>
        </w:rPr>
        <w:t xml:space="preserve">Four structural features recur:</w:t>
      </w:r>
    </w:p>
    <w:p>
      <w:pPr>
        <w:pStyle w:val="ListParagraph"/>
        <w:numPr>
          <w:ilvl w:val="0"/>
          <w:numId w:val="2"/>
        </w:numPr>
        <w:spacing w:after="80" w:line="276"/>
      </w:pPr>
      <w:r>
        <w:rPr>
          <w:rFonts w:ascii="Calibri" w:cs="Calibri" w:eastAsia="Calibri" w:hAnsi="Calibri"/>
          <w:b/>
          <w:bCs/>
          <w:sz w:val="22"/>
          <w:szCs w:val="22"/>
        </w:rPr>
        <w:t xml:space="preserve">Need-first, not product-first. </w:t>
      </w:r>
      <w:r>
        <w:rPr>
          <w:rFonts w:ascii="Calibri" w:cs="Calibri" w:eastAsia="Calibri" w:hAnsi="Calibri"/>
          <w:sz w:val="22"/>
          <w:szCs w:val="22"/>
        </w:rPr>
        <w:t xml:space="preserve">The government states an operational problem and invites approaches, rather than specifying a solution it has already chosen.</w:t>
      </w:r>
    </w:p>
    <w:p>
      <w:pPr>
        <w:pStyle w:val="ListParagraph"/>
        <w:numPr>
          <w:ilvl w:val="0"/>
          <w:numId w:val="2"/>
        </w:numPr>
        <w:spacing w:after="80" w:line="276"/>
      </w:pPr>
      <w:r>
        <w:rPr>
          <w:rFonts w:ascii="Calibri" w:cs="Calibri" w:eastAsia="Calibri" w:hAnsi="Calibri"/>
          <w:b/>
          <w:bCs/>
          <w:sz w:val="22"/>
          <w:szCs w:val="22"/>
        </w:rPr>
        <w:t xml:space="preserve">Bounded initial commitment. </w:t>
      </w:r>
      <w:r>
        <w:rPr>
          <w:rFonts w:ascii="Calibri" w:cs="Calibri" w:eastAsia="Calibri" w:hAnsi="Calibri"/>
          <w:sz w:val="22"/>
          <w:szCs w:val="22"/>
        </w:rPr>
        <w:t xml:space="preserve">The first stage is small in scope, data exposure, and money, sized to answer one question honestly.</w:t>
      </w:r>
    </w:p>
    <w:p>
      <w:pPr>
        <w:pStyle w:val="ListParagraph"/>
        <w:numPr>
          <w:ilvl w:val="0"/>
          <w:numId w:val="2"/>
        </w:numPr>
        <w:spacing w:after="80" w:line="276"/>
      </w:pPr>
      <w:r>
        <w:rPr>
          <w:rFonts w:ascii="Calibri" w:cs="Calibri" w:eastAsia="Calibri" w:hAnsi="Calibri"/>
          <w:b/>
          <w:bCs/>
          <w:sz w:val="22"/>
          <w:szCs w:val="22"/>
        </w:rPr>
        <w:t xml:space="preserve">Evidence gates between stages. </w:t>
      </w:r>
      <w:r>
        <w:rPr>
          <w:rFonts w:ascii="Calibri" w:cs="Calibri" w:eastAsia="Calibri" w:hAnsi="Calibri"/>
          <w:sz w:val="22"/>
          <w:szCs w:val="22"/>
        </w:rPr>
        <w:t xml:space="preserve">Advancement depends on documented performance against criteria set in advance, not on a demonstration or a promise.</w:t>
      </w:r>
    </w:p>
    <w:p>
      <w:pPr>
        <w:pStyle w:val="ListParagraph"/>
        <w:numPr>
          <w:ilvl w:val="0"/>
          <w:numId w:val="2"/>
        </w:numPr>
        <w:spacing w:after="80" w:line="276"/>
      </w:pPr>
      <w:r>
        <w:rPr>
          <w:rFonts w:ascii="Calibri" w:cs="Calibri" w:eastAsia="Calibri" w:hAnsi="Calibri"/>
          <w:b/>
          <w:bCs/>
          <w:sz w:val="22"/>
          <w:szCs w:val="22"/>
        </w:rPr>
        <w:t xml:space="preserve">A clean stop. </w:t>
      </w:r>
      <w:r>
        <w:rPr>
          <w:rFonts w:ascii="Calibri" w:cs="Calibri" w:eastAsia="Calibri" w:hAnsi="Calibri"/>
          <w:sz w:val="22"/>
          <w:szCs w:val="22"/>
        </w:rPr>
        <w:t xml:space="preserve">Every model contemplates ending the relationship at a defined point without penalty, litigation, or loss of government control over data and results.</w:t>
      </w:r>
    </w:p>
    <w:p>
      <w:pPr>
        <w:spacing w:after="120" w:line="276"/>
      </w:pPr>
      <w:r>
        <w:rPr>
          <w:rFonts w:ascii="Calibri" w:cs="Calibri" w:eastAsia="Calibri" w:hAnsi="Calibri"/>
          <w:sz w:val="22"/>
          <w:szCs w:val="22"/>
        </w:rPr>
        <w:t xml:space="preserve">The models differ in their legal vehicle (contract, prize, cooperative agreement, partnership instrument), but not in this underlying logic. That is what makes the pattern portable across levels of government.</w:t>
      </w:r>
    </w:p>
    <w:p>
      <w:r>
        <w:br w:type="page"/>
      </w:r>
    </w:p>
    <w:p>
      <w:pPr>
        <w:pStyle w:val="Heading1"/>
        <w:spacing w:after="160" w:before="360"/>
      </w:pPr>
      <w:r>
        <w:rPr>
          <w:rFonts w:ascii="Calibri" w:cs="Calibri" w:eastAsia="Calibri" w:hAnsi="Calibri"/>
          <w:b/>
          <w:bCs/>
          <w:color w:val="1F3864"/>
          <w:sz w:val="22"/>
          <w:szCs w:val="22"/>
        </w:rPr>
        <w:t xml:space="preserve">3. Federal models</w:t>
      </w:r>
    </w:p>
    <w:p>
      <w:pPr>
        <w:spacing w:after="120" w:line="276"/>
      </w:pPr>
      <w:r>
        <w:rPr>
          <w:rFonts w:ascii="Calibri" w:cs="Calibri" w:eastAsia="Calibri" w:hAnsi="Calibri"/>
          <w:sz w:val="22"/>
          <w:szCs w:val="22"/>
        </w:rPr>
        <w:t xml:space="preserve">Federal acquisition supplies the deepest body of staged-acquisition practice. The entries below are grouped by function: foundational authority, the challenge format itself, prize mechanisms, milestone partnerships, and phased development.</w:t>
      </w:r>
    </w:p>
    <w:p>
      <w:pPr>
        <w:pStyle w:val="Heading2"/>
        <w:spacing w:after="120" w:before="280"/>
      </w:pPr>
      <w:r>
        <w:rPr>
          <w:rFonts w:ascii="Calibri" w:cs="Calibri" w:eastAsia="Calibri" w:hAnsi="Calibri"/>
          <w:b/>
          <w:bCs/>
          <w:color w:val="2E5496"/>
          <w:sz w:val="22"/>
          <w:szCs w:val="22"/>
        </w:rPr>
        <w:t xml:space="preserve">3.1 Foundational acquisition authority</w:t>
      </w:r>
    </w:p>
    <w:p>
      <w:pPr>
        <w:pStyle w:val="Heading3"/>
        <w:spacing w:after="100" w:before="200"/>
      </w:pPr>
      <w:r>
        <w:rPr>
          <w:rFonts w:ascii="Calibri" w:cs="Calibri" w:eastAsia="Calibri" w:hAnsi="Calibri"/>
          <w:b/>
          <w:bCs/>
          <w:color w:val="333333"/>
          <w:sz w:val="22"/>
          <w:szCs w:val="22"/>
        </w:rPr>
        <w:t xml:space="preserve">FAR 1.102(d): Statement of Guiding Principles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 Acquisition Regulation, Subpart 1.1</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 that an acquisition approach may be treated as permissible when it serves the government's interests and is not addressed by the FAR, prohibited by law, executive order, or regulation.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presumption in favor of sound business judgment. Absence of explicit authorization is not prohibition.</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general federal foundation for acquisition innovation. Cited to justify departing from a conventional solicitation where the departure serves the public interest.</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https://www.acquisition.gov/far/1.102</w:t>
            </w:r>
          </w:p>
        </w:tc>
      </w:tr>
    </w:tbl>
    <w:p>
      <w:pPr>
        <w:pStyle w:val="Heading3"/>
        <w:spacing w:after="100" w:before="200"/>
      </w:pPr>
      <w:r>
        <w:rPr>
          <w:rFonts w:ascii="Calibri" w:cs="Calibri" w:eastAsia="Calibri" w:hAnsi="Calibri"/>
          <w:b/>
          <w:bCs/>
          <w:color w:val="333333"/>
          <w:sz w:val="22"/>
          <w:szCs w:val="22"/>
        </w:rPr>
        <w:t xml:space="preserve">FAR 39.103: Modular Contracting</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 Acquisition Regulation, Part 39 (Acquisition of Information Technology)</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Permits agencies to divide an information technology system into smaller, interoperable increments that can be delivered, implemented, and tested separately. Requires attention to compatibility with the overall architecture and to the interfaces between increments.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That staging is a recognized method for managing IT acquisition risk, not an improvisation.</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closest federal analogue to a phased challenge structure. Also supplies the rationale for portability and interface requirements between stages.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https://www.acquisition.gov/far/39.103</w:t>
            </w:r>
          </w:p>
        </w:tc>
      </w:tr>
    </w:tbl>
    <w:p>
      <w:pPr>
        <w:pStyle w:val="Heading3"/>
        <w:spacing w:after="100" w:before="200"/>
      </w:pPr>
      <w:r>
        <w:rPr>
          <w:rFonts w:ascii="Calibri" w:cs="Calibri" w:eastAsia="Calibri" w:hAnsi="Calibri"/>
          <w:b/>
          <w:bCs/>
          <w:color w:val="333333"/>
          <w:sz w:val="22"/>
          <w:szCs w:val="22"/>
        </w:rPr>
        <w:t xml:space="preserve">FAR Part 12: Acquisition of Commercial Products and Services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 Acquisition Regulation, Part 12</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Streamlined procedures for acquiring commercial items, including commercial-item determination, market research, and simplified terms and warranties.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pathway from proven capability to a sustained operational purchase.</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only model in this compendium addressing what happens after a pilot succeeds. Most staged models produce evidence; this one produces the operating contract.</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https://www.acquisition.gov/far/part-12</w:t>
            </w:r>
          </w:p>
        </w:tc>
      </w:tr>
    </w:tbl>
    <w:p>
      <w:pPr>
        <w:pStyle w:val="Heading2"/>
        <w:spacing w:after="120" w:before="280"/>
      </w:pPr>
      <w:r>
        <w:rPr>
          <w:rFonts w:ascii="Calibri" w:cs="Calibri" w:eastAsia="Calibri" w:hAnsi="Calibri"/>
          <w:b/>
          <w:bCs/>
          <w:color w:val="2E5496"/>
          <w:sz w:val="22"/>
          <w:szCs w:val="22"/>
        </w:rPr>
        <w:t xml:space="preserve">3.2 The challenge format</w:t>
      </w:r>
    </w:p>
    <w:p>
      <w:pPr>
        <w:pStyle w:val="Heading3"/>
        <w:spacing w:after="100" w:before="200"/>
      </w:pPr>
      <w:r>
        <w:rPr>
          <w:rFonts w:ascii="Calibri" w:cs="Calibri" w:eastAsia="Calibri" w:hAnsi="Calibri"/>
          <w:b/>
          <w:bCs/>
          <w:color w:val="333333"/>
          <w:sz w:val="22"/>
          <w:szCs w:val="22"/>
        </w:rPr>
        <w:t xml:space="preserve">Challenge-Based Acquisition (MITRE, Version 5, 2020)</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Methodology guide, not a regulation</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government states an operational need rather than prescribing a product, invites different technical approaches, and uses transparent assessment methods to evaluate demonstrated capability under defined conditions.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repeatable structure for competitions that assess working capability rather than written claims.</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single most directly applicable federal reference for drafting a challenge announcement. Its assessment discipline of common test conditions, published criteria, and demonstrated rather than described capability transfers directly to municipal use.</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https://www.mitre.org/sites/default/files/2021-11/prs-20-0745-challenge-based-acquisition-version-5.pdf</w:t>
            </w:r>
          </w:p>
        </w:tc>
      </w:tr>
    </w:tbl>
    <w:p>
      <w:pPr>
        <w:pStyle w:val="Heading2"/>
        <w:spacing w:after="120" w:before="280"/>
      </w:pPr>
      <w:r>
        <w:rPr>
          <w:rFonts w:ascii="Calibri" w:cs="Calibri" w:eastAsia="Calibri" w:hAnsi="Calibri"/>
          <w:b/>
          <w:bCs/>
          <w:color w:val="2E5496"/>
          <w:sz w:val="22"/>
          <w:szCs w:val="22"/>
        </w:rPr>
        <w:t xml:space="preserve">3.3 Prize and competition authorities</w:t>
      </w:r>
    </w:p>
    <w:p>
      <w:pPr>
        <w:pStyle w:val="Heading3"/>
        <w:spacing w:after="100" w:before="200"/>
      </w:pPr>
      <w:r>
        <w:rPr>
          <w:rFonts w:ascii="Calibri" w:cs="Calibri" w:eastAsia="Calibri" w:hAnsi="Calibri"/>
          <w:b/>
          <w:bCs/>
          <w:color w:val="333333"/>
          <w:sz w:val="22"/>
          <w:szCs w:val="22"/>
        </w:rPr>
        <w:t xml:space="preserve">15 U.S.C. § 3719: Prize Competitions (America COMPETES)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Statute. Added as § 24 of the Stevenson-Wydler Technology Innovation Act by the America COMPETES Reauthorization Act of 2010.</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Government-wide authority for any agency head to conduct prize competitions to stimulate innovation advancing the agency mission, using appropriated funds. Defines required announcement elements, liability treatment, intellectual property, and judging.</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Three provisions of particular note: (1) the government may not acquire an interest in a participant's intellectual property without written consent, though it may negotiate a license; (2) judges may come from inside or outside government but may not have financial, employment, or familial ties to a participant; (3) competitions must publish their rules, eligibility, and judging basis in advance.</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closest statutory analogue to a challenge announcement as a document type. Its default position, under which a participant retains intellectual property and the government secures what it needs by contract terms, is the correct starting assumption for municipal challenge drafting. Its judge conflict-of-interest rules are a directly adoptable model for evaluation panels.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https://uscode.house.gov/view.xhtml?req=%28title%3A15+section%3A3719+edition%3Aprelim%29  •  CRS R45271: https://www.congress.gov/crs-product/R45271</w:t>
            </w:r>
          </w:p>
        </w:tc>
      </w:tr>
    </w:tbl>
    <w:p>
      <w:pPr>
        <w:pStyle w:val="Heading3"/>
        <w:spacing w:after="100" w:before="200"/>
      </w:pPr>
      <w:r>
        <w:rPr>
          <w:rFonts w:ascii="Calibri" w:cs="Calibri" w:eastAsia="Calibri" w:hAnsi="Calibri"/>
          <w:b/>
          <w:bCs/>
          <w:color w:val="333333"/>
          <w:sz w:val="22"/>
          <w:szCs w:val="22"/>
        </w:rPr>
        <w:t xml:space="preserve">DARPA Grand Challenge and 10 U.S.C. § 4025</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Statute (Department of Defense prize authority) and the program conducted under it</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prize competition setting a demanding performance outcome, qualifying teams against published criteria, and paying for demonstrated achievement. The current statute authorizes competitively awarded prizes for advanced technology achievements, including cash prizes, procurement contracts, and other agreements.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That defining the performance challenge without dictating technical design can produce solutions the government would not have specified. The first Grand Challenge produced no winner; the second produced several. A failed round is informative, not wasted.</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Supports paying a stipend for demonstrated participation rather than purchasing a deliverable, and supports treating a challenge that advances no team as a legitimate outcome.</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https://uscode.house.gov/view.xhtml?req=title:10%20section:4025  •  DARPA: https://www.darpa.mil/about/innovation-timeline/grand-challenge</w:t>
            </w:r>
          </w:p>
        </w:tc>
      </w:tr>
    </w:tbl>
    <w:p>
      <w:pPr>
        <w:pStyle w:val="Heading2"/>
        <w:spacing w:after="120" w:before="280"/>
      </w:pPr>
      <w:r>
        <w:rPr>
          <w:rFonts w:ascii="Calibri" w:cs="Calibri" w:eastAsia="Calibri" w:hAnsi="Calibri"/>
          <w:b/>
          <w:bCs/>
          <w:color w:val="2E5496"/>
          <w:sz w:val="22"/>
          <w:szCs w:val="22"/>
        </w:rPr>
        <w:t xml:space="preserve">3.4 Milestone-based partnership</w:t>
      </w:r>
    </w:p>
    <w:p>
      <w:pPr>
        <w:pStyle w:val="Heading3"/>
        <w:spacing w:after="100" w:before="200"/>
      </w:pPr>
      <w:r>
        <w:rPr>
          <w:rFonts w:ascii="Calibri" w:cs="Calibri" w:eastAsia="Calibri" w:hAnsi="Calibri"/>
          <w:b/>
          <w:bCs/>
          <w:color w:val="333333"/>
          <w:sz w:val="22"/>
          <w:szCs w:val="22"/>
        </w:rPr>
        <w:t xml:space="preserve">NASA Commercial Orbital Transportation Services (COTS) and 51 U.S.C. § 20113</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Funded Space Act Agreements, under NASA's Space Act Agreement authority</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Negotiated technical and financial milestones, with payment following milestone completion. Failure to make sufficient progress could end an agreement. The program deliberately separated capability development and demonstration from the later purchase of operational cargo services.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funded partnership instrument that sits outside standard procurement, in which both parties invest and the government can exit cleanly on non-performance.</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model for a pilot agreement that is not yet a contract for services. Also the clearest precedent for separating the pilot from the eventual operational purchase: two distinct decisions, two distinct instruments.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NASA/SP-2014-617: https://www.nasa.gov/wp-content/uploads/2016/08/sp-2014-617.pdf  •  51 U.S.C. § 20113: https://uscode.house.gov/view.xhtml?req=%28title%3A51+section%3A20113+edition%3Aprelim%29</w:t>
            </w:r>
          </w:p>
        </w:tc>
      </w:tr>
    </w:tbl>
    <w:p>
      <w:pPr>
        <w:pStyle w:val="Heading2"/>
        <w:spacing w:after="120" w:before="280"/>
      </w:pPr>
      <w:r>
        <w:rPr>
          <w:rFonts w:ascii="Calibri" w:cs="Calibri" w:eastAsia="Calibri" w:hAnsi="Calibri"/>
          <w:b/>
          <w:bCs/>
          <w:color w:val="2E5496"/>
          <w:sz w:val="22"/>
          <w:szCs w:val="22"/>
        </w:rPr>
        <w:t xml:space="preserve">3.5 Phased development</w:t>
      </w:r>
    </w:p>
    <w:p>
      <w:pPr>
        <w:pStyle w:val="Heading3"/>
        <w:spacing w:after="100" w:before="200"/>
      </w:pPr>
      <w:r>
        <w:rPr>
          <w:rFonts w:ascii="Calibri" w:cs="Calibri" w:eastAsia="Calibri" w:hAnsi="Calibri"/>
          <w:b/>
          <w:bCs/>
          <w:color w:val="333333"/>
          <w:sz w:val="22"/>
          <w:szCs w:val="22"/>
        </w:rPr>
        <w:t xml:space="preserve">Small Business Innovation Research (SBIR), Phases I, II, and III</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Statute: 15 U.S.C. § 638</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three-phase structure moving from feasibility (Phase I), to research and prototype development (Phase II), to commercialization or agency acquisition using non-SBIR funds (Phase III). Each phase is separately competed or justified, and award is contingent on prior-phase results.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canonical staged-commitment staircase: funding and scope increase only as technical and commercial evidence develops.</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clearest articulation of the underlying pattern. A two-stage municipal challenge followed by an implementation contract is structurally SBIR Phases I, II, and III compressed.</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https://uscode.house.gov/view.xhtml?req=%28title%3A15+section%3A638+edition%3Aprelim%29  •  https://www.sbir.gov/about  •  https://www.gsa.gov/assisted-acquisition-services/acquisition-process/sbir-and-sttr</w:t>
            </w:r>
          </w:p>
        </w:tc>
      </w:tr>
    </w:tbl>
    <w:p>
      <w:pPr>
        <w:pStyle w:val="Heading2"/>
        <w:spacing w:after="120" w:before="280"/>
      </w:pPr>
      <w:r>
        <w:rPr>
          <w:rFonts w:ascii="Calibri" w:cs="Calibri" w:eastAsia="Calibri" w:hAnsi="Calibri"/>
          <w:b/>
          <w:bCs/>
          <w:color w:val="2E5496"/>
          <w:sz w:val="22"/>
          <w:szCs w:val="22"/>
        </w:rPr>
        <w:t xml:space="preserve">3.6 Oversight guidance</w:t>
      </w:r>
    </w:p>
    <w:p>
      <w:pPr>
        <w:pStyle w:val="Heading3"/>
        <w:spacing w:after="100" w:before="200"/>
      </w:pPr>
      <w:r>
        <w:rPr>
          <w:rFonts w:ascii="Calibri" w:cs="Calibri" w:eastAsia="Calibri" w:hAnsi="Calibri"/>
          <w:b/>
          <w:bCs/>
          <w:color w:val="333333"/>
          <w:sz w:val="22"/>
          <w:szCs w:val="22"/>
        </w:rPr>
        <w:t xml:space="preserve">GAO-26-107859: Artificial Intelligence Acquisitions (April 2026)</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Government Accountability Office report</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Published April 13, 2026. Found that federal agencies more than doubled AI use from 2023 to 2024 while acquiring capability through varied approaches. Officials reported difficulty accessing AI technical experts to evaluate contractor proposals, and difficulty understanding AI-related costs. GAO recommended that DOD, DHS, GSA, and VA update policies to require systematic collection of lessons learned from AI acquisitions; the agencies concurred.</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That AI acquisition carries distinct risks warranting deliberate capture of experience across procurements.</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Supports building a post-challenge evaluation and lessons-learned requirement into the program itself, rather than treating each challenge as a standalone event.</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https://www.gao.gov/products/gao-26-107859  •  PDF: https://www.gao.gov/assets/gao-26-107859.pdf</w:t>
            </w:r>
          </w:p>
        </w:tc>
      </w:tr>
    </w:tbl>
    <w:p>
      <w:r>
        <w:br w:type="page"/>
      </w:r>
    </w:p>
    <w:p>
      <w:pPr>
        <w:pStyle w:val="Heading1"/>
        <w:spacing w:after="160" w:before="360"/>
      </w:pPr>
      <w:r>
        <w:rPr>
          <w:rFonts w:ascii="Calibri" w:cs="Calibri" w:eastAsia="Calibri" w:hAnsi="Calibri"/>
          <w:b/>
          <w:bCs/>
          <w:color w:val="1F3864"/>
          <w:sz w:val="22"/>
          <w:szCs w:val="22"/>
        </w:rPr>
        <w:t xml:space="preserve">4. State-level models and constraints</w:t>
      </w:r>
    </w:p>
    <w:p>
      <w:pPr>
        <w:spacing w:after="120" w:line="276"/>
      </w:pPr>
      <w:r>
        <w:rPr>
          <w:rFonts w:ascii="Calibri" w:cs="Calibri" w:eastAsia="Calibri" w:hAnsi="Calibri"/>
          <w:sz w:val="22"/>
          <w:szCs w:val="22"/>
        </w:rPr>
        <w:t xml:space="preserve">The state tier serves two distinct purposes. First, Missouri statute defines the procurement environment in which state agencies operate, which is instructive but does not directly govern a charter city. Second, peer-state and multi-state innovation programs demonstrate how challenge structures have been adapted to sub-federal budgets and staff capacity.</w:t>
      </w:r>
    </w:p>
    <w:p>
      <w:pPr>
        <w:pBdr>
          <w:left w:val="single" w:color="C08A2E" w:sz="18" w:space="8"/>
        </w:pBdr>
        <w:shd w:fill="FDF3E7" w:val="clear"/>
        <w:spacing w:after="160" w:before="140" w:line="276"/>
        <w:ind w:left="120" w:right="120"/>
      </w:pPr>
      <w:r>
        <w:rPr>
          <w:rFonts w:ascii="Calibri" w:cs="Calibri" w:eastAsia="Calibri" w:hAnsi="Calibri"/>
          <w:i/>
          <w:iCs/>
          <w:sz w:val="22"/>
          <w:szCs w:val="22"/>
        </w:rPr>
        <w:t xml:space="preserve">Important limitation. Missouri Revised Statutes Chapter 34 governs state purchasing. It does not directly bind the City of Kansas City, which operates under its own charter and code. Chapter 34 is included here as context for the surrounding legal environment, not as authority. Verify all applicable municipal authority with the City Law Department.</w:t>
      </w:r>
    </w:p>
    <w:p>
      <w:pPr>
        <w:pStyle w:val="Heading2"/>
        <w:spacing w:after="120" w:before="280"/>
      </w:pPr>
      <w:r>
        <w:rPr>
          <w:rFonts w:ascii="Calibri" w:cs="Calibri" w:eastAsia="Calibri" w:hAnsi="Calibri"/>
          <w:b/>
          <w:bCs/>
          <w:color w:val="2E5496"/>
          <w:sz w:val="22"/>
          <w:szCs w:val="22"/>
        </w:rPr>
        <w:t xml:space="preserve">4.1 Missouri statutory context</w:t>
      </w:r>
    </w:p>
    <w:p>
      <w:pPr>
        <w:pStyle w:val="Heading3"/>
        <w:spacing w:after="100" w:before="200"/>
      </w:pPr>
      <w:r>
        <w:rPr>
          <w:rFonts w:ascii="Calibri" w:cs="Calibri" w:eastAsia="Calibri" w:hAnsi="Calibri"/>
          <w:b/>
          <w:bCs/>
          <w:color w:val="333333"/>
          <w:sz w:val="22"/>
          <w:szCs w:val="22"/>
        </w:rPr>
        <w:t xml:space="preserve">RSMo Chapter 34: State Purchasing and Printing</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Missouri Revised Statutes, Chapter 34</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 competitive bidding as the default for state purchases above the statutory threshold. Provides that where the commissioner of administration determines competitive bidding is not practicable or not advantageous to the state, supplies may be procured by competitive proposals, with the reasons stated and documented in the file. Authorizes cooperative purchasing agreements under contracts established by other governmental entities.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That Missouri procurement law contemplates alternatives to sealed competitive bidding where documented and justified: the competitive-proposals pathway, with a written determination and record.</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Instructive as to the posture Missouri takes toward procurement flexibility: alternatives exist, but they must be determined, stated, and documented. A municipal challenge should expect to meet a comparable documentation standard under its own code.</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Status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Context only. Governs state agencies, not the City. Verify with Law.</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https://revisor.mo.gov/main/OneSection.aspx?section=34.040  •  https://revisor.mo.gov/main/OneSection.aspx?section=34.042  •  https://oa.mo.gov/purchasing/cooperative-procurement-program/faqs</w:t>
            </w:r>
          </w:p>
        </w:tc>
      </w:tr>
    </w:tbl>
    <w:p>
      <w:pPr>
        <w:pStyle w:val="Heading2"/>
        <w:spacing w:after="120" w:before="280"/>
      </w:pPr>
      <w:r>
        <w:rPr>
          <w:rFonts w:ascii="Calibri" w:cs="Calibri" w:eastAsia="Calibri" w:hAnsi="Calibri"/>
          <w:b/>
          <w:bCs/>
          <w:color w:val="2E5496"/>
          <w:sz w:val="22"/>
          <w:szCs w:val="22"/>
        </w:rPr>
        <w:t xml:space="preserve">4.2 Missouri authority applicable to the City</w:t>
      </w:r>
    </w:p>
    <w:p>
      <w:pPr>
        <w:spacing w:after="120" w:line="276"/>
      </w:pPr>
      <w:r>
        <w:rPr>
          <w:rFonts w:ascii="Calibri" w:cs="Calibri" w:eastAsia="Calibri" w:hAnsi="Calibri"/>
          <w:sz w:val="22"/>
          <w:szCs w:val="22"/>
        </w:rPr>
        <w:t xml:space="preserve">The following require confirmation by the City Law Department before citation in any binding document. They are listed here so the compendium records what must be established, not what has been established.</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400"/>
        <w:gridCol w:w="5960"/>
      </w:tblGrid>
      <w:tr>
        <w:trPr>
          <w:tblHeader/>
        </w:trPr>
        <w:tc>
          <w:tcPr>
            <w:tcW w:type="dxa" w:w="3400"/>
            <w:shd w:fill="7F5C2E"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Authority</w:t>
            </w:r>
          </w:p>
        </w:tc>
        <w:tc>
          <w:tcPr>
            <w:tcW w:type="dxa" w:w="5960"/>
            <w:shd w:fill="7F5C2E"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Relevance and verification status</w:t>
            </w:r>
          </w:p>
        </w:tc>
      </w:tr>
      <w:tr>
        <w:trPr>
          <w:tblHeader w:val="false"/>
        </w:trPr>
        <w:tc>
          <w:tcPr>
            <w:tcW w:type="dxa" w:w="34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KCMO City Charter</w:t>
            </w:r>
          </w:p>
        </w:tc>
        <w:tc>
          <w:tcPr>
            <w:tcW w:type="dxa" w:w="59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Contracting and administrative authority; delegation to the City Manager and department directors. Verify applicable articles.</w:t>
            </w:r>
          </w:p>
        </w:tc>
      </w:tr>
      <w:tr>
        <w:trPr>
          <w:tblHeader w:val="false"/>
        </w:trPr>
        <w:tc>
          <w:tcPr>
            <w:tcW w:type="dxa" w:w="34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KCMO Code of Ordinances: procurement provisions</w:t>
            </w:r>
          </w:p>
        </w:tc>
        <w:tc>
          <w:tcPr>
            <w:tcW w:type="dxa" w:w="59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operative rules for a City solicitation: thresholds, solicitation types, protest procedures, award authority. Verify chapter and sections.</w:t>
            </w:r>
          </w:p>
        </w:tc>
      </w:tr>
      <w:tr>
        <w:trPr>
          <w:tblHeader w:val="false"/>
        </w:trPr>
        <w:tc>
          <w:tcPr>
            <w:tcW w:type="dxa" w:w="34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Missouri Sunshine Law, RSMo Chapter 610</w:t>
            </w:r>
          </w:p>
        </w:tc>
        <w:tc>
          <w:tcPr>
            <w:tcW w:type="dxa" w:w="59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Open records and meetings. Governs treatment of submitted proposals, trade-secret redaction, evaluation records, and retention of challenge artifacts. Verify applicable sections.</w:t>
            </w:r>
          </w:p>
        </w:tc>
      </w:tr>
      <w:tr>
        <w:trPr>
          <w:tblHeader w:val="false"/>
        </w:trPr>
        <w:tc>
          <w:tcPr>
            <w:tcW w:type="dxa" w:w="34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Missouri local records retention requirements</w:t>
            </w:r>
          </w:p>
        </w:tc>
        <w:tc>
          <w:tcPr>
            <w:tcW w:type="dxa" w:w="59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Retention scheduling for solicitation records, evaluation materials, and any system outputs generated during a pilot. Verify with Secretary of State, Local Records Division.</w:t>
            </w:r>
          </w:p>
        </w:tc>
      </w:tr>
      <w:tr>
        <w:trPr>
          <w:tblHeader w:val="false"/>
        </w:trPr>
        <w:tc>
          <w:tcPr>
            <w:tcW w:type="dxa" w:w="34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MBE/WBE participation requirements</w:t>
            </w:r>
          </w:p>
        </w:tc>
        <w:tc>
          <w:tcPr>
            <w:tcW w:type="dxa" w:w="59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Certification and participation goals applicable to City solicitations. Verify current thresholds and applicability to a stipend-based challenge.</w:t>
            </w:r>
          </w:p>
        </w:tc>
      </w:tr>
    </w:tbl>
    <w:p>
      <w:pPr>
        <w:pStyle w:val="Heading2"/>
        <w:spacing w:after="120" w:before="280"/>
      </w:pPr>
      <w:r>
        <w:rPr>
          <w:rFonts w:ascii="Calibri" w:cs="Calibri" w:eastAsia="Calibri" w:hAnsi="Calibri"/>
          <w:b/>
          <w:bCs/>
          <w:color w:val="2E5496"/>
          <w:sz w:val="22"/>
          <w:szCs w:val="22"/>
        </w:rPr>
        <w:t xml:space="preserve">4.3 Multi-jurisdiction innovation programs</w:t>
      </w:r>
    </w:p>
    <w:p>
      <w:pPr>
        <w:pStyle w:val="Heading3"/>
        <w:spacing w:after="100" w:before="200"/>
      </w:pPr>
      <w:r>
        <w:rPr>
          <w:rFonts w:ascii="Calibri" w:cs="Calibri" w:eastAsia="Calibri" w:hAnsi="Calibri"/>
          <w:b/>
          <w:bCs/>
          <w:color w:val="333333"/>
          <w:sz w:val="22"/>
          <w:szCs w:val="22"/>
        </w:rPr>
        <w:t xml:space="preserve">Startup in Residence (STiR)</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Program model administered by City Innovate; adopted by numerous cities, counties, and states</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structured residency, originally sixteen weeks, pairing government partners with technology companies to work on defined civic challenges through a streamlined procurement process. Began as a San Francisco pilot in 2014 and expanded to multiple jurisdictions, including Washington, D.C., and state and regional agencies.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That a time-boxed collaborative residency can function as a procurement front-end, producing both a working prototype and the mutual understanding needed for a subsequent contract.</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closest peer model for the co-design stage of a municipal challenge. Note one significant divergence: in the original STiR model, participating companies were generally not paid for the residency period. A stipend-based structure, as in the Kansas City model, trades cost for a stronger claim on deliverables, wider participation, and clearer expectations.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https://startupinresidence.org/</w:t>
            </w:r>
          </w:p>
        </w:tc>
      </w:tr>
    </w:tbl>
    <w:p>
      <w:r>
        <w:br w:type="page"/>
      </w:r>
    </w:p>
    <w:p>
      <w:pPr>
        <w:pStyle w:val="Heading1"/>
        <w:spacing w:after="160" w:before="360"/>
      </w:pPr>
      <w:r>
        <w:rPr>
          <w:rFonts w:ascii="Calibri" w:cs="Calibri" w:eastAsia="Calibri" w:hAnsi="Calibri"/>
          <w:b/>
          <w:bCs/>
          <w:color w:val="1F3864"/>
          <w:sz w:val="22"/>
          <w:szCs w:val="22"/>
        </w:rPr>
        <w:t xml:space="preserve">5. Local and municipal models</w:t>
      </w:r>
    </w:p>
    <w:p>
      <w:pPr>
        <w:spacing w:after="120" w:line="276"/>
      </w:pPr>
      <w:r>
        <w:rPr>
          <w:rFonts w:ascii="Calibri" w:cs="Calibri" w:eastAsia="Calibri" w:hAnsi="Calibri"/>
          <w:sz w:val="22"/>
          <w:szCs w:val="22"/>
        </w:rPr>
        <w:t xml:space="preserve">Municipal models are the most directly transferable entries in this compendium. They operate under comparable constraints: limited staff capacity, modest budgets, elected oversight, public-records obligations, and the requirement to explain decisions to residents.</w:t>
      </w:r>
    </w:p>
    <w:p>
      <w:pPr>
        <w:pStyle w:val="Heading3"/>
        <w:spacing w:after="100" w:before="200"/>
      </w:pPr>
      <w:r>
        <w:rPr>
          <w:rFonts w:ascii="Calibri" w:cs="Calibri" w:eastAsia="Calibri" w:hAnsi="Calibri"/>
          <w:b/>
          <w:bCs/>
          <w:color w:val="333333"/>
          <w:sz w:val="22"/>
          <w:szCs w:val="22"/>
        </w:rPr>
        <w:t xml:space="preserve">Miami-Dade Innovation Authority: Public Innovation Challenges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dedicated public innovation authority, institutionally separate from the operating departments it serves</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competitive open call inviting technology companies to pilot market-ready solutions against defined local problems. The Authority runs the full arc: challenge selection, company recruitment, due diligence, pilot testing, and public reporting. For its airport passenger-experience challenge, it drew 136 companies from 27 countries and selected three for funded pilots at 100,000 dollars each.</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Three things at once: an institutional model for who runs challenges, a demonstrated down-select ratio at municipal scale, and the practice of funding municipal pilots rather than expecting unpaid participation.</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strongest available evidence that a small cohort selected from a large field is workable for a city. Also relevant for its published criteria on which problems make good challenge candidates, effectively a problem-selection gate preceding the challenge itself.</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https://www.mdia.miami/challengesnapshot  •  https://www.mdia.miami/news/airportwinnersrelease  •  Problem-selection criteria: https://medium.com/miami-dade-innovation-authority/innovation-pilots-evaluation-criteria-for-selecting-challenge-hosts-28621f5b01e6</w:t>
            </w:r>
          </w:p>
        </w:tc>
      </w:tr>
    </w:tbl>
    <w:p>
      <w:pPr>
        <w:pStyle w:val="Heading3"/>
        <w:spacing w:after="100" w:before="200"/>
      </w:pPr>
      <w:r>
        <w:rPr>
          <w:rFonts w:ascii="Calibri" w:cs="Calibri" w:eastAsia="Calibri" w:hAnsi="Calibri"/>
          <w:b/>
          <w:bCs/>
          <w:color w:val="333333"/>
          <w:sz w:val="22"/>
          <w:szCs w:val="22"/>
        </w:rPr>
        <w:t xml:space="preserve">City of Long Beach: Smart City Challenge</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Municipal challenge program</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concise, problem-based challenge followed by a short pilot with transparent evaluation. The format deliberately leaves room for vendors to propose approaches the city did not specify in advance. The Challenge is powered by the Startup in Residence program, pairing City departments with technology companies for roughly six months to build and implement pilot solutions. The Smart City Initiative was established in 2019 on principles of equity, inclusion, resilience, innovation, and community collaboration; the Challenge launched as a pilot in 2021 and now runs annually.</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That the challenge format works at city scale and city budget, without a dedicated authority or federal-scale resources.</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model for the solicitation posture: problem stated, solution left open. The open question it raises, and which a well-designed program should answer explicitly, is what evidence must be required before a pilot becomes an operating dependency.</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https://longbeach.gov/smartcity/  •  Program overview: https://www.longbeach.gov/globalassets/smart-city/media-library/documents/smart-city-challenge/scc_program-overview_final--1-  •  https://www.longbeach.gov/smartcity/pilot-programs/smart-city-challenge/2023-challenges/</w:t>
            </w:r>
          </w:p>
        </w:tc>
      </w:tr>
    </w:tbl>
    <w:p>
      <w:pPr>
        <w:pStyle w:val="Heading3"/>
        <w:spacing w:after="100" w:before="200"/>
      </w:pPr>
      <w:r>
        <w:rPr>
          <w:rFonts w:ascii="Calibri" w:cs="Calibri" w:eastAsia="Calibri" w:hAnsi="Calibri"/>
          <w:b/>
          <w:bCs/>
          <w:color w:val="333333"/>
          <w:sz w:val="22"/>
          <w:szCs w:val="22"/>
        </w:rPr>
        <w:t xml:space="preserve">District of Columbia: Artificial Intelligence Procurement Handbook</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Municipal procurement guidance issued by the District's technology office</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Guidance covering the capabilities of broad categories of AI tools, how to structure and scope AI procurements, and how to monitor performance after award. Establishes risk-tiered classification, so that oversight depth scales with the consequence of the application. Requires vendor disclosure of training-data sources, model architecture, and known limitations. Embeds ongoing monitoring, bias auditing, and incident reporting in the contract rather than relying on point-in-time acceptance testing. Addresses AI-specific data rights including output ownership, retraining rights, and model versioning. Contemplates pilot procurement pathways for testing at smaller scale before full deployment.</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most complete municipal treatment of AI-specific procurement requirements currently available.</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natural source for the governance content of an AI challenge: risk tiering, vendor disclosure obligations, contract-embedded monitoring, and data rights. Where the federal models supply staging discipline, this supplies the AI-specific substance.</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Source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https://techplan.dc.gov/sites/default/files/u23/1E.%20AI%20Procurement%20Handbook%20-FINAL.pdf  •  https://techplan.dc.gov/page/dcs-ai-values-and-strategic-plan</w:t>
            </w:r>
          </w:p>
        </w:tc>
      </w:tr>
    </w:tbl>
    <w:p>
      <w:pPr>
        <w:pStyle w:val="Heading3"/>
        <w:spacing w:after="100" w:before="200"/>
      </w:pPr>
      <w:r>
        <w:rPr>
          <w:rFonts w:ascii="Calibri" w:cs="Calibri" w:eastAsia="Calibri" w:hAnsi="Calibri"/>
          <w:b/>
          <w:bCs/>
          <w:color w:val="333333"/>
          <w:sz w:val="22"/>
          <w:szCs w:val="22"/>
        </w:rPr>
        <w:t xml:space="preserve">KCMO Administrative Regulation 3-27: Innovation Partnerships (assessed)</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100"/>
        <w:gridCol w:w="7260"/>
      </w:tblGrid>
      <w:tr>
        <w:trPr>
          <w:tblHeader/>
        </w:trPr>
        <w:tc>
          <w:tcPr>
            <w:tcW w:type="dxa" w:w="210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Element</w:t>
            </w:r>
          </w:p>
        </w:tc>
        <w:tc>
          <w:tcPr>
            <w:tcW w:type="dxa" w:w="7260"/>
            <w:shd w:fill="2E5496"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Description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Instrument</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City of Kansas City, Missouri, Administrative Regulation No. 3-27, effective July 23, 2013</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Mechanism</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Authorizes Innovation Partnership Agreements to test, evaluate, or demonstrate innovative solutions, and permits temporary use of City-owned resources and infrastructure including land, facilities, equipment, rights of way, and data. Establishes an Innovation Partnerships Team drawn from the City Manager's Office, the Office of the Mayor and City Council, Finance, Law, and Procurement, which recommends agreements to the City Manager for approval. Requires performance measures to be established at the outset and evaluated in a report at conclusion.</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Establishes</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 local instrument for scoped, temporary access to City data and infrastructure under an agreement, with performance measurement built in.</w:t>
            </w:r>
          </w:p>
        </w:tc>
      </w:tr>
      <w:tr>
        <w:trPr>
          <w:tblHeader w:val="false"/>
        </w:trPr>
        <w:tc>
          <w:tcPr>
            <w:tcW w:type="dxa" w:w="21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Assessment</w:t>
            </w:r>
          </w:p>
        </w:tc>
        <w:tc>
          <w:tcPr>
            <w:tcW w:type="dxa" w:w="72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Evaluated as a vehicle for public innovation challenges and set aside. Two structural mismatches: the regulation is written for inbound, unsolicited proposals. Section 6.3.1 requires the initial cost and benefit assessment to be prepared by the potential partner, whereas a challenge is the City going to market. And it contains no competitive selection method for choosing among multiple competing teams, since its criteria address whether to enter a partnership at all rather than how to rank several. Its team composition also predates the Chief Digital Officer, Data KC, and modern cybersecurity functions.</w:t>
            </w:r>
          </w:p>
        </w:tc>
      </w:tr>
      <w:tr>
        <w:trPr>
          <w:tblHeader w:val="false"/>
        </w:trPr>
        <w:tc>
          <w:tcPr>
            <w:tcW w:type="dxa" w:w="21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Relevance</w:t>
            </w:r>
          </w:p>
        </w:tc>
        <w:tc>
          <w:tcPr>
            <w:tcW w:type="dxa" w:w="72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Retained as background. Its section 6.4 performance-measure requirement is the conceptual seed of gated evaluation, and its section 3.1 temporary-access construct would be useful in any future standing pathway, if paired with a competitive selection method.</w:t>
            </w:r>
          </w:p>
        </w:tc>
      </w:tr>
    </w:tbl>
    <w:p>
      <w:r>
        <w:br w:type="page"/>
      </w:r>
    </w:p>
    <w:p>
      <w:pPr>
        <w:pStyle w:val="Heading1"/>
        <w:spacing w:after="160" w:before="360"/>
      </w:pPr>
      <w:r>
        <w:rPr>
          <w:rFonts w:ascii="Calibri" w:cs="Calibri" w:eastAsia="Calibri" w:hAnsi="Calibri"/>
          <w:b/>
          <w:bCs/>
          <w:color w:val="1F3864"/>
          <w:sz w:val="22"/>
          <w:szCs w:val="22"/>
        </w:rPr>
        <w:t xml:space="preserve">6. Comparative summary</w:t>
      </w:r>
    </w:p>
    <w:p>
      <w:pPr>
        <w:spacing w:after="120" w:line="276"/>
      </w:pPr>
      <w:r>
        <w:rPr>
          <w:rFonts w:ascii="Calibri" w:cs="Calibri" w:eastAsia="Calibri" w:hAnsi="Calibri"/>
          <w:sz w:val="22"/>
          <w:szCs w:val="22"/>
        </w:rPr>
        <w:t xml:space="preserve">The table below maps each model to the function it best supports in a municipal challenge program.</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500"/>
        <w:gridCol w:w="1700"/>
        <w:gridCol w:w="5160"/>
      </w:tblGrid>
      <w:tr>
        <w:trPr>
          <w:tblHeader/>
        </w:trPr>
        <w:tc>
          <w:tcPr>
            <w:tcW w:type="dxa" w:w="25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Model</w:t>
            </w:r>
          </w:p>
        </w:tc>
        <w:tc>
          <w:tcPr>
            <w:tcW w:type="dxa" w:w="17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Tier</w:t>
            </w:r>
          </w:p>
        </w:tc>
        <w:tc>
          <w:tcPr>
            <w:tcW w:type="dxa" w:w="51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Best used for</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FAR 1.102(d)</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Rationale for departing from a conventional solicitation</w:t>
            </w:r>
          </w:p>
        </w:tc>
      </w:tr>
      <w:tr>
        <w:trPr>
          <w:tblHeader w:val="false"/>
        </w:trPr>
        <w:tc>
          <w:tcPr>
            <w:tcW w:type="dxa" w:w="25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FAR 39.103</w:t>
            </w:r>
          </w:p>
        </w:tc>
        <w:tc>
          <w:tcPr>
            <w:tcW w:type="dxa" w:w="17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Justifying a phased, separately testable structure</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FAR Part 12</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transition from proven pilot to operating purchase</w:t>
            </w:r>
          </w:p>
        </w:tc>
      </w:tr>
      <w:tr>
        <w:trPr>
          <w:tblHeader w:val="false"/>
        </w:trPr>
        <w:tc>
          <w:tcPr>
            <w:tcW w:type="dxa" w:w="25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Challenge-Based Acquisition (MITRE)</w:t>
            </w:r>
          </w:p>
        </w:tc>
        <w:tc>
          <w:tcPr>
            <w:tcW w:type="dxa" w:w="17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Drafting the announcement and the assessment method</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15 U.S.C. § 3719</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Announcement elements, IP default, evaluator conflict rules</w:t>
            </w:r>
          </w:p>
        </w:tc>
      </w:tr>
      <w:tr>
        <w:trPr>
          <w:tblHeader w:val="false"/>
        </w:trPr>
        <w:tc>
          <w:tcPr>
            <w:tcW w:type="dxa" w:w="25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DARPA / 10 U.S.C. § 4025</w:t>
            </w:r>
          </w:p>
        </w:tc>
        <w:tc>
          <w:tcPr>
            <w:tcW w:type="dxa" w:w="17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Stipends for demonstrated performance; legitimacy of a no-award outcome</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NASA COTS / 51 U.S.C. § 20113</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Milestone-based pilot agreements and clean exit on non-performance</w:t>
            </w:r>
          </w:p>
        </w:tc>
      </w:tr>
      <w:tr>
        <w:trPr>
          <w:tblHeader w:val="false"/>
        </w:trPr>
        <w:tc>
          <w:tcPr>
            <w:tcW w:type="dxa" w:w="25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SBIR Phases I, II, and III</w:t>
            </w:r>
          </w:p>
        </w:tc>
        <w:tc>
          <w:tcPr>
            <w:tcW w:type="dxa" w:w="17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The overall staged-commitment architecture</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GAO-26-107859</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Federal</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Post-award monitoring and lessons-learned capture</w:t>
            </w:r>
          </w:p>
        </w:tc>
      </w:tr>
      <w:tr>
        <w:trPr>
          <w:tblHeader w:val="false"/>
        </w:trPr>
        <w:tc>
          <w:tcPr>
            <w:tcW w:type="dxa" w:w="25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RSMo Chapter 34</w:t>
            </w:r>
          </w:p>
        </w:tc>
        <w:tc>
          <w:tcPr>
            <w:tcW w:type="dxa" w:w="17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State</w:t>
            </w:r>
          </w:p>
        </w:tc>
        <w:tc>
          <w:tcPr>
            <w:tcW w:type="dxa" w:w="51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Context on Missouri procurement flexibility and documentation standards</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Startup in Residence</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State / multi</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Design of the co-design residency stage</w:t>
            </w:r>
          </w:p>
        </w:tc>
      </w:tr>
      <w:tr>
        <w:trPr>
          <w:tblHeader w:val="false"/>
        </w:trPr>
        <w:tc>
          <w:tcPr>
            <w:tcW w:type="dxa" w:w="25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Miami-Dade Innovation Authority</w:t>
            </w:r>
          </w:p>
        </w:tc>
        <w:tc>
          <w:tcPr>
            <w:tcW w:type="dxa" w:w="17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Local</w:t>
            </w:r>
          </w:p>
        </w:tc>
        <w:tc>
          <w:tcPr>
            <w:tcW w:type="dxa" w:w="51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Program institution, cohort sizing, funded pilots</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City of Long Beach</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Local</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Problem-first solicitation posture at city scale</w:t>
            </w:r>
          </w:p>
        </w:tc>
      </w:tr>
      <w:tr>
        <w:trPr>
          <w:tblHeader w:val="false"/>
        </w:trPr>
        <w:tc>
          <w:tcPr>
            <w:tcW w:type="dxa" w:w="25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D.C. AI Procurement Handbook</w:t>
            </w:r>
          </w:p>
        </w:tc>
        <w:tc>
          <w:tcPr>
            <w:tcW w:type="dxa" w:w="17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Local</w:t>
            </w:r>
          </w:p>
        </w:tc>
        <w:tc>
          <w:tcPr>
            <w:tcW w:type="dxa" w:w="51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AI-specific governance, risk tiers, monitoring clauses</w:t>
            </w:r>
          </w:p>
        </w:tc>
      </w:tr>
      <w:tr>
        <w:trPr>
          <w:tblHeader w:val="false"/>
        </w:trPr>
        <w:tc>
          <w:tcPr>
            <w:tcW w:type="dxa" w:w="25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KCMO AR 3-27</w:t>
            </w:r>
          </w:p>
        </w:tc>
        <w:tc>
          <w:tcPr>
            <w:tcW w:type="dxa" w:w="17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Local</w:t>
            </w:r>
          </w:p>
        </w:tc>
        <w:tc>
          <w:tcPr>
            <w:tcW w:type="dxa" w:w="51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Background; temporary data-access construct; assessed and set aside</w:t>
            </w:r>
          </w:p>
        </w:tc>
      </w:tr>
    </w:tbl>
    <w:p>
      <w:pPr>
        <w:pStyle w:val="Heading2"/>
        <w:spacing w:after="120" w:before="280"/>
      </w:pPr>
      <w:r>
        <w:rPr>
          <w:rFonts w:ascii="Calibri" w:cs="Calibri" w:eastAsia="Calibri" w:hAnsi="Calibri"/>
          <w:b/>
          <w:bCs/>
          <w:color w:val="2E5496"/>
          <w:sz w:val="22"/>
          <w:szCs w:val="22"/>
        </w:rPr>
        <w:t xml:space="preserve">6.1 What each tier contributes</w:t>
      </w:r>
    </w:p>
    <w:p>
      <w:pPr>
        <w:pStyle w:val="ListParagraph"/>
        <w:numPr>
          <w:ilvl w:val="0"/>
          <w:numId w:val="2"/>
        </w:numPr>
        <w:spacing w:after="80" w:line="276"/>
      </w:pPr>
      <w:r>
        <w:rPr>
          <w:rFonts w:ascii="Calibri" w:cs="Calibri" w:eastAsia="Calibri" w:hAnsi="Calibri"/>
          <w:b/>
          <w:bCs/>
          <w:sz w:val="22"/>
          <w:szCs w:val="22"/>
        </w:rPr>
        <w:t xml:space="preserve">Federal models contribute structure. </w:t>
      </w:r>
      <w:r>
        <w:rPr>
          <w:rFonts w:ascii="Calibri" w:cs="Calibri" w:eastAsia="Calibri" w:hAnsi="Calibri"/>
          <w:sz w:val="22"/>
          <w:szCs w:val="22"/>
        </w:rPr>
        <w:t xml:space="preserve">Staging logic, gate discipline, prize and milestone mechanics, and the separation between developing evidence and buying a service.</w:t>
      </w:r>
    </w:p>
    <w:p>
      <w:pPr>
        <w:pStyle w:val="ListParagraph"/>
        <w:numPr>
          <w:ilvl w:val="0"/>
          <w:numId w:val="2"/>
        </w:numPr>
        <w:spacing w:after="80" w:line="276"/>
      </w:pPr>
      <w:r>
        <w:rPr>
          <w:rFonts w:ascii="Calibri" w:cs="Calibri" w:eastAsia="Calibri" w:hAnsi="Calibri"/>
          <w:b/>
          <w:bCs/>
          <w:sz w:val="22"/>
          <w:szCs w:val="22"/>
        </w:rPr>
        <w:t xml:space="preserve">State material contributes constraint. </w:t>
      </w:r>
      <w:r>
        <w:rPr>
          <w:rFonts w:ascii="Calibri" w:cs="Calibri" w:eastAsia="Calibri" w:hAnsi="Calibri"/>
          <w:sz w:val="22"/>
          <w:szCs w:val="22"/>
        </w:rPr>
        <w:t xml:space="preserve">The documentation and justification standards that alternatives to sealed bidding must meet, and the records and disclosure obligations that follow.</w:t>
      </w:r>
    </w:p>
    <w:p>
      <w:pPr>
        <w:pStyle w:val="ListParagraph"/>
        <w:numPr>
          <w:ilvl w:val="0"/>
          <w:numId w:val="2"/>
        </w:numPr>
        <w:spacing w:after="80" w:line="276"/>
      </w:pPr>
      <w:r>
        <w:rPr>
          <w:rFonts w:ascii="Calibri" w:cs="Calibri" w:eastAsia="Calibri" w:hAnsi="Calibri"/>
          <w:b/>
          <w:bCs/>
          <w:sz w:val="22"/>
          <w:szCs w:val="22"/>
        </w:rPr>
        <w:t xml:space="preserve">Local models contribute feasibility. </w:t>
      </w:r>
      <w:r>
        <w:rPr>
          <w:rFonts w:ascii="Calibri" w:cs="Calibri" w:eastAsia="Calibri" w:hAnsi="Calibri"/>
          <w:sz w:val="22"/>
          <w:szCs w:val="22"/>
        </w:rPr>
        <w:t xml:space="preserve">Evidence that challenges run at municipal scale, realistic cohort sizes, funded-pilot norms, and AI-specific governance written for city government rather than federal agencies.</w:t>
      </w:r>
    </w:p>
    <w:p>
      <w:pPr>
        <w:pStyle w:val="Heading2"/>
        <w:spacing w:after="120" w:before="280"/>
      </w:pPr>
      <w:r>
        <w:rPr>
          <w:rFonts w:ascii="Calibri" w:cs="Calibri" w:eastAsia="Calibri" w:hAnsi="Calibri"/>
          <w:b/>
          <w:bCs/>
          <w:color w:val="2E5496"/>
          <w:sz w:val="22"/>
          <w:szCs w:val="22"/>
        </w:rPr>
        <w:t xml:space="preserve">6.2 Gaps common to all tiers</w:t>
      </w:r>
    </w:p>
    <w:p>
      <w:pPr>
        <w:spacing w:after="120" w:line="276"/>
      </w:pPr>
      <w:r>
        <w:rPr>
          <w:rFonts w:ascii="Calibri" w:cs="Calibri" w:eastAsia="Calibri" w:hAnsi="Calibri"/>
          <w:sz w:val="22"/>
          <w:szCs w:val="22"/>
        </w:rPr>
        <w:t xml:space="preserve">Three questions recur across the models and are answered well by none of them. A municipal program should address each explicitly:</w:t>
      </w:r>
    </w:p>
    <w:p>
      <w:pPr>
        <w:pStyle w:val="ListParagraph"/>
        <w:numPr>
          <w:ilvl w:val="0"/>
          <w:numId w:val="2"/>
        </w:numPr>
        <w:spacing w:after="80" w:line="276"/>
      </w:pPr>
      <w:r>
        <w:rPr>
          <w:rFonts w:ascii="Calibri" w:cs="Calibri" w:eastAsia="Calibri" w:hAnsi="Calibri"/>
          <w:b/>
          <w:bCs/>
          <w:sz w:val="22"/>
          <w:szCs w:val="22"/>
        </w:rPr>
        <w:t xml:space="preserve">Baseline measurement. </w:t>
      </w:r>
      <w:r>
        <w:rPr>
          <w:rFonts w:ascii="Calibri" w:cs="Calibri" w:eastAsia="Calibri" w:hAnsi="Calibri"/>
          <w:sz w:val="22"/>
          <w:szCs w:val="22"/>
        </w:rPr>
        <w:t xml:space="preserve">Nearly every model evaluates a solution's performance without requiring the government to have measured its own current-state performance first. Without a baseline, improvement claims are unfalsifiable.</w:t>
      </w:r>
    </w:p>
    <w:p>
      <w:pPr>
        <w:pStyle w:val="ListParagraph"/>
        <w:numPr>
          <w:ilvl w:val="0"/>
          <w:numId w:val="2"/>
        </w:numPr>
        <w:spacing w:after="80" w:line="276"/>
      </w:pPr>
      <w:r>
        <w:rPr>
          <w:rFonts w:ascii="Calibri" w:cs="Calibri" w:eastAsia="Calibri" w:hAnsi="Calibri"/>
          <w:b/>
          <w:bCs/>
          <w:sz w:val="22"/>
          <w:szCs w:val="22"/>
        </w:rPr>
        <w:t xml:space="preserve">Ground-truth construction. </w:t>
      </w:r>
      <w:r>
        <w:rPr>
          <w:rFonts w:ascii="Calibri" w:cs="Calibri" w:eastAsia="Calibri" w:hAnsi="Calibri"/>
          <w:sz w:val="22"/>
          <w:szCs w:val="22"/>
        </w:rPr>
        <w:t xml:space="preserve">Models that require blind evaluation sets rarely account for the government staff time needed to build and adjudicate them, which is typically the critical path.</w:t>
      </w:r>
    </w:p>
    <w:p>
      <w:pPr>
        <w:pStyle w:val="ListParagraph"/>
        <w:numPr>
          <w:ilvl w:val="0"/>
          <w:numId w:val="2"/>
        </w:numPr>
        <w:spacing w:after="80" w:line="276"/>
      </w:pPr>
      <w:r>
        <w:rPr>
          <w:rFonts w:ascii="Calibri" w:cs="Calibri" w:eastAsia="Calibri" w:hAnsi="Calibri"/>
          <w:b/>
          <w:bCs/>
          <w:sz w:val="22"/>
          <w:szCs w:val="22"/>
        </w:rPr>
        <w:t xml:space="preserve">Government-side capacity. </w:t>
      </w:r>
      <w:r>
        <w:rPr>
          <w:rFonts w:ascii="Calibri" w:cs="Calibri" w:eastAsia="Calibri" w:hAnsi="Calibri"/>
          <w:sz w:val="22"/>
          <w:szCs w:val="22"/>
        </w:rPr>
        <w:t xml:space="preserve">The cost of the government's own participation, including subject-matter expert hours, scheduling across multiple concurrent teams, and decision turnaround, is generally uncosted.</w:t>
      </w:r>
    </w:p>
    <w:p>
      <w:r>
        <w:br w:type="page"/>
      </w:r>
    </w:p>
    <w:p>
      <w:pPr>
        <w:pStyle w:val="Heading1"/>
        <w:spacing w:after="160" w:before="360"/>
      </w:pPr>
      <w:r>
        <w:rPr>
          <w:rFonts w:ascii="Calibri" w:cs="Calibri" w:eastAsia="Calibri" w:hAnsi="Calibri"/>
          <w:b/>
          <w:bCs/>
          <w:color w:val="1F3864"/>
          <w:sz w:val="22"/>
          <w:szCs w:val="22"/>
        </w:rPr>
        <w:t xml:space="preserve">7. Sources</w:t>
      </w:r>
    </w:p>
    <w:p>
      <w:pPr>
        <w:spacing w:after="120" w:line="276"/>
      </w:pPr>
      <w:r>
        <w:rPr>
          <w:rFonts w:ascii="Calibri" w:cs="Calibri" w:eastAsia="Calibri" w:hAnsi="Calibri"/>
          <w:sz w:val="22"/>
          <w:szCs w:val="22"/>
        </w:rPr>
        <w:t xml:space="preserve">Full URLs are provided for every source that has a public location. Entries without a URL are documents held by the issuing organization or the City.</w:t>
      </w:r>
    </w:p>
    <w:p>
      <w:pPr>
        <w:pStyle w:val="Heading3"/>
        <w:spacing w:after="100" w:before="200"/>
      </w:pPr>
      <w:r>
        <w:rPr>
          <w:rFonts w:ascii="Calibri" w:cs="Calibri" w:eastAsia="Calibri" w:hAnsi="Calibri"/>
          <w:b/>
          <w:bCs/>
          <w:color w:val="333333"/>
          <w:sz w:val="22"/>
          <w:szCs w:val="22"/>
        </w:rPr>
        <w:t xml:space="preserve">7.1 Federal</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Source</w:t>
            </w:r>
          </w:p>
        </w:tc>
        <w:tc>
          <w:tcPr>
            <w:tcW w:type="dxa" w:w="63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URL</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FAR 1.102: Guiding principles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https://www.acquisition.gov/far/1.102</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FAR 39.103: Modular contracting</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https://www.acquisition.gov/far/39.103</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FAR Part 12: Commercial products and services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https://www.acquisition.gov/far/part-12</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MITRE, Challenge-Based Acquisition, Version 5 (2020)</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https://www.mitre.org/sites/default/files/2021-11/prs-20-0745-challenge-based-acquisition-version-5.pdf</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15 U.S.C. § 3719: Prize competitions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https://uscode.house.gov/view.xhtml?req=%28title%3A15+section%3A3719+edition%3Aprelim%29</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CRS Report R45271: Federal Prize Competitions</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https://www.congress.gov/crs-product/R45271</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10 U.S.C. § 4025: Prizes for advanced technology achievements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https://uscode.house.gov/view.xhtml?req=title:10%20section:4025</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DARPA: Grand Challenge</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https://www.darpa.mil/about/innovation-timeline/grand-challenge</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NASA/SP-2014-617: Commercial Orbital Transportation Services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https://www.nasa.gov/wp-content/uploads/2016/08/sp-2014-617.pdf</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51 U.S.C. § 20113: NASA general powers (Space Act Agreements)</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https://uscode.house.gov/view.xhtml?req=%28title%3A51+section%3A20113+edition%3Aprelim%29</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15 U.S.C. § 638: SBIR / research and development</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https://uscode.house.gov/view.xhtml?req=%28title%3A15+section%3A638+edition%3Aprelim%29</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SBA: SBIR/STTR program overview</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https://www.sbir.gov/about</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GSA: SBIR and STTR</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https://www.gsa.gov/assisted-acquisition-services/acquisition-process/sbir-and-sttr</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GAO-26-107859: AI Acquisitions (April 2026)</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https://www.gao.gov/products/gao-26-107859</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GAO-26-107859: full report PDF</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https://www.gao.gov/assets/gao-26-107859.pdf</w:t>
            </w:r>
          </w:p>
        </w:tc>
      </w:tr>
    </w:tbl>
    <w:p>
      <w:pPr>
        <w:pStyle w:val="Heading3"/>
        <w:spacing w:after="100" w:before="200"/>
      </w:pPr>
      <w:r>
        <w:rPr>
          <w:rFonts w:ascii="Calibri" w:cs="Calibri" w:eastAsia="Calibri" w:hAnsi="Calibri"/>
          <w:b/>
          <w:bCs/>
          <w:color w:val="333333"/>
          <w:sz w:val="22"/>
          <w:szCs w:val="22"/>
        </w:rPr>
        <w:t xml:space="preserve">7.2 State</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Source</w:t>
            </w:r>
          </w:p>
        </w:tc>
        <w:tc>
          <w:tcPr>
            <w:tcW w:type="dxa" w:w="63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URL</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RSMo § 34.040: State purchasing, competitive bidding</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https://revisor.mo.gov/main/OneSection.aspx?section=34.040</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RSMo § 34.042: Bidding procedures</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https://revisor.mo.gov/main/OneSection.aspx?section=34.042</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Missouri Office of Administration: Cooperative Procurement Program</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https://oa.mo.gov/purchasing/cooperative-procurement-program/faqs</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RSMo § 610.010: Sunshine Law definitions</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https://revisor.mo.gov/main/OneSection.aspx?section=610.010</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Missouri Attorney General: Sunshine Law</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https://ago.mo.gov/get-help/programs-services-from-a-z/sunshine-law/</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Startup in Residence (City Innovate)</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https://startupinresidence.org/</w:t>
            </w:r>
          </w:p>
        </w:tc>
      </w:tr>
    </w:tbl>
    <w:p>
      <w:pPr>
        <w:pStyle w:val="Heading3"/>
        <w:spacing w:after="100" w:before="200"/>
      </w:pPr>
      <w:r>
        <w:rPr>
          <w:rFonts w:ascii="Calibri" w:cs="Calibri" w:eastAsia="Calibri" w:hAnsi="Calibri"/>
          <w:b/>
          <w:bCs/>
          <w:color w:val="333333"/>
          <w:sz w:val="22"/>
          <w:szCs w:val="22"/>
        </w:rPr>
        <w:t xml:space="preserve">7.3 Local and municipal</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Source</w:t>
            </w:r>
          </w:p>
        </w:tc>
        <w:tc>
          <w:tcPr>
            <w:tcW w:type="dxa" w:w="63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URL</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Miami-Dade Innovation Authority: Challenge Snapshots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https://www.mdia.miami/challengesnapshot</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MDIA: Airport challenge winners announcement</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https://www.mdia.miami/news/airportwinnersrelease</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MDIA: Criteria for selecting challenge hosts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https://medium.com/miami-dade-innovation-authority/innovation-pilots-evaluation-criteria-for-selecting-challenge-hosts-28621f5b01e6</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MDIA: Impact Hub</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https://www.mdia.miami/impact</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Miami International Airport: Public Innovation Challenge winners</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https://news.miami-airport.com/mayor-levine-cava-unveils-winners-of-public-innovation-challenge-tasked-with-elevating-the-passenger-experience-at-mia/</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City of Long Beach: Smart City Initiative</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https://longbeach.gov/smartcity/</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Long Beach: Smart City Challenge program overview (PDF)</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https://www.longbeach.gov/globalassets/smart-city/media-library/documents/smart-city-challenge/scc_program-overview_final--1-</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Long Beach: 2023 Smart City Challenge challenges</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https://www.longbeach.gov/smartcity/pilot-programs/smart-city-challenge/2023-challenges/</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Long Beach: 2023 Smart City Challenge launch release</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https://www.longbeach.gov/press-releases/city-of-long-beach-launches-2023-smart-city-challenge/</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District of Columbia: AI Procurement Handbook (PDF)</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https://techplan.dc.gov/sites/default/files/u23/1E.%20AI%20Procurement%20Handbook%20-FINAL.pdf</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District of Columbia: AI Values and Strategic Plan</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https://techplan.dc.gov/page/dcs-ai-values-and-strategic-plan</w:t>
            </w:r>
          </w:p>
        </w:tc>
      </w:tr>
      <w:tr>
        <w:trPr>
          <w:tblHeader w:val="false"/>
        </w:trPr>
        <w:tc>
          <w:tcPr>
            <w:tcW w:type="dxa" w:w="300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KCMO AR 3-27, Innovation Partnerships (eff. July 23, 2013)</w:t>
            </w:r>
          </w:p>
        </w:tc>
        <w:tc>
          <w:tcPr>
            <w:tcW w:type="dxa" w:w="6360"/>
            <w:shd w:fill="F4F6FA" w:val="clear"/>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City-held document; no public URL</w:t>
            </w:r>
          </w:p>
        </w:tc>
      </w:tr>
    </w:tbl>
    <w:p>
      <w:pPr>
        <w:pStyle w:val="Heading3"/>
        <w:spacing w:after="100" w:before="200"/>
      </w:pPr>
      <w:r>
        <w:rPr>
          <w:rFonts w:ascii="Calibri" w:cs="Calibri" w:eastAsia="Calibri" w:hAnsi="Calibri"/>
          <w:b/>
          <w:bCs/>
          <w:color w:val="333333"/>
          <w:sz w:val="22"/>
          <w:szCs w:val="22"/>
        </w:rPr>
        <w:t xml:space="preserve">7.4 Contextual</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Source</w:t>
            </w:r>
          </w:p>
        </w:tc>
        <w:tc>
          <w:tcPr>
            <w:tcW w:type="dxa" w:w="63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2"/>
                <w:szCs w:val="22"/>
              </w:rPr>
              <w:t xml:space="preserve">URL</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Partners for Public Good: Purchasing Responsible AI panel, July 22, 2026</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sz w:val="22"/>
                <w:szCs w:val="22"/>
              </w:rPr>
              <w:t xml:space="preserve">Session materials held by the organizer; no public URL</w:t>
            </w:r>
          </w:p>
        </w:tc>
      </w:tr>
    </w:tbl>
    <w:p>
      <w:pPr>
        <w:spacing w:after="200" w:line="276"/>
      </w:pPr>
      <w:r>
        <w:rPr>
          <w:rFonts w:ascii="Calibri" w:cs="Calibri" w:eastAsia="Calibri" w:hAnsi="Calibri"/>
          <w:sz w:val="22"/>
          <w:szCs w:val="22"/>
        </w:rPr>
        <w:t xml:space="preserve"/>
      </w:r>
    </w:p>
    <w:p>
      <w:pPr>
        <w:pBdr>
          <w:left w:val="single" w:color="2E5496" w:sz="18" w:space="8"/>
        </w:pBdr>
        <w:shd w:fill="F2F5FA" w:val="clear"/>
        <w:spacing w:after="160" w:before="140" w:line="276"/>
        <w:ind w:left="120" w:right="120"/>
      </w:pPr>
      <w:r>
        <w:rPr>
          <w:rFonts w:ascii="Calibri" w:cs="Calibri" w:eastAsia="Calibri" w:hAnsi="Calibri"/>
          <w:i/>
          <w:iCs/>
          <w:sz w:val="22"/>
          <w:szCs w:val="22"/>
        </w:rPr>
        <w:t xml:space="preserve">Verification note. URLs in this document were confirmed against the issuing agency or a primary source as of August 2026, with one exception: the deep link for 51 U.S.C. § 20113 follows the confirmed uscode.house.gov query format used for the other statutes in this list but was not independently opened. Missouri municipal authority applicable to the City of Kansas City, including charter provisions, code procurement sections, applicable Sunshine Law sections, retention schedules, and MBE/WBE requirements, has not been independently verified and requires Law Department confirmation. Do not cite those items as authority until confirmed.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Challenge-Based Acquisition Models: Federal, State, and Local Reference Compendium</dc:title>
  <dc:creator>City of Kansas City, Missouri</dc:creator>
  <dc:description>Reference compendium of staged and challenge-based acquisition models</dc:description>
  <cp:lastModifiedBy>Un-named</cp:lastModifiedBy>
  <cp:revision>1</cp:revision>
  <dcterms:created xsi:type="dcterms:W3CDTF">2026-08-14T04:16:27.526Z</dcterms:created>
  <dcterms:modified xsi:type="dcterms:W3CDTF">2026-08-14T04:16:27.526Z</dcterms:modified>
</cp:coreProperties>
</file>

<file path=docProps/custom.xml><?xml version="1.0" encoding="utf-8"?>
<Properties xmlns="http://schemas.openxmlformats.org/officeDocument/2006/custom-properties" xmlns:vt="http://schemas.openxmlformats.org/officeDocument/2006/docPropsVTypes"/>
</file>