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10" w:space="6"/>
        </w:pBdr>
        <w:spacing w:after="160" w:before="200"/>
      </w:pPr>
      <w:r>
        <w:rPr>
          <w:rFonts w:ascii="Calibri" w:cs="Calibri" w:eastAsia="Calibri" w:hAnsi="Calibri"/>
          <w:b/>
          <w:bCs/>
          <w:color w:val="1F3864"/>
          <w:sz w:val="22"/>
          <w:szCs w:val="22"/>
        </w:rPr>
        <w:t xml:space="preserve">AI in Procurement: References and What We Are Building</w:t>
      </w:r>
    </w:p>
    <w:p>
      <w:pPr>
        <w:spacing w:after="140" w:line="276"/>
      </w:pPr>
      <w:r>
        <w:rPr>
          <w:rFonts w:ascii="Calibri" w:cs="Calibri" w:eastAsia="Calibri" w:hAnsi="Calibri"/>
          <w:b/>
          <w:bCs/>
          <w:sz w:val="22"/>
          <w:szCs w:val="22"/>
        </w:rPr>
        <w:t xml:space="preserve">City of Kansas City, Missouri</w:t>
      </w:r>
    </w:p>
    <w:p>
      <w:pPr>
        <w:spacing w:after="140" w:line="276"/>
      </w:pPr>
      <w:r>
        <w:rPr>
          <w:rFonts w:ascii="Calibri" w:cs="Calibri" w:eastAsia="Calibri" w:hAnsi="Calibri"/>
          <w:b/>
          <w:bCs/>
          <w:sz w:val="22"/>
          <w:szCs w:val="22"/>
        </w:rPr>
        <w:t xml:space="preserve">Shared notes, August 2026</w:t>
      </w:r>
    </w:p>
    <w:p>
      <w:pPr>
        <w:spacing w:after="140" w:line="276"/>
      </w:pPr>
      <w:r>
        <w:rPr>
          <w:rFonts w:ascii="Calibri" w:cs="Calibri" w:eastAsia="Calibri" w:hAnsi="Calibri"/>
          <w:sz w:val="22"/>
          <w:szCs w:val="22"/>
        </w:rPr>
        <w:t xml:space="preserve">These are the references we found useful and a summary of what we are building. Sharing privately, as discussed. Nothing here is finished and I have said so where that matters.</w:t>
      </w:r>
    </w:p>
    <w:p>
      <w:pPr>
        <w:pStyle w:val="Heading2"/>
        <w:spacing w:after="130" w:before="320"/>
      </w:pPr>
      <w:r>
        <w:rPr>
          <w:rFonts w:ascii="Calibri" w:cs="Calibri" w:eastAsia="Calibri" w:hAnsi="Calibri"/>
          <w:b/>
          <w:bCs/>
          <w:color w:val="1F3864"/>
          <w:sz w:val="22"/>
          <w:szCs w:val="22"/>
        </w:rPr>
        <w:t xml:space="preserve">Start with California</w:t>
      </w:r>
    </w:p>
    <w:p>
      <w:pPr>
        <w:spacing w:after="140" w:line="276"/>
      </w:pPr>
      <w:r>
        <w:rPr>
          <w:rFonts w:ascii="Calibri" w:cs="Calibri" w:eastAsia="Calibri" w:hAnsi="Calibri"/>
          <w:sz w:val="22"/>
          <w:szCs w:val="22"/>
        </w:rPr>
        <w:t xml:space="preserve">California already requires the thing your procurement people are asking about. It is your own state, and it predates the DC guidance by about a year.</w:t>
      </w:r>
    </w:p>
    <w:p>
      <w:pPr>
        <w:pStyle w:val="ListParagraph"/>
        <w:numPr>
          <w:ilvl w:val="0"/>
          <w:numId w:val="2"/>
        </w:numPr>
        <w:spacing w:after="70" w:line="268"/>
      </w:pPr>
      <w:r>
        <w:rPr>
          <w:rFonts w:ascii="Calibri" w:cs="Calibri" w:eastAsia="Calibri" w:hAnsi="Calibri"/>
          <w:b/>
          <w:bCs/>
          <w:sz w:val="22"/>
          <w:szCs w:val="22"/>
        </w:rPr>
        <w:t xml:space="preserve">Executive Order N-12-23</w:t>
      </w:r>
      <w:r>
        <w:rPr>
          <w:rFonts w:ascii="Calibri" w:cs="Calibri" w:eastAsia="Calibri" w:hAnsi="Calibri"/>
          <w:sz w:val="22"/>
          <w:szCs w:val="22"/>
        </w:rPr>
        <w:t xml:space="preserve">, September 6, 2023. Directed DGS and CDT to issue procurement guidance covering safety, algorithmic discrimination, data privacy, and notice when material is generated by GenAI.</w:t>
      </w:r>
    </w:p>
    <w:p>
      <w:pPr>
        <w:pStyle w:val="ListParagraph"/>
        <w:numPr>
          <w:ilvl w:val="0"/>
          <w:numId w:val="2"/>
        </w:numPr>
        <w:spacing w:after="70" w:line="268"/>
      </w:pPr>
      <w:r>
        <w:rPr>
          <w:rFonts w:ascii="Calibri" w:cs="Calibri" w:eastAsia="Calibri" w:hAnsi="Calibri"/>
          <w:b/>
          <w:bCs/>
          <w:sz w:val="22"/>
          <w:szCs w:val="22"/>
        </w:rPr>
        <w:t xml:space="preserve">DGS Broadcast Bulletin P-03-24</w:t>
      </w:r>
      <w:r>
        <w:rPr>
          <w:rFonts w:ascii="Calibri" w:cs="Calibri" w:eastAsia="Calibri" w:hAnsi="Calibri"/>
          <w:sz w:val="22"/>
          <w:szCs w:val="22"/>
        </w:rPr>
        <w:t xml:space="preserve">, effective March 21, 2024, full implementation by April 30, 2024. All written solicitations, IT and non-IT, goods and services, must include mandatory GenAI disclosure language.</w:t>
      </w:r>
    </w:p>
    <w:p>
      <w:pPr>
        <w:pStyle w:val="ListParagraph"/>
        <w:numPr>
          <w:ilvl w:val="0"/>
          <w:numId w:val="2"/>
        </w:numPr>
        <w:spacing w:after="70" w:line="268"/>
      </w:pPr>
      <w:r>
        <w:rPr>
          <w:rFonts w:ascii="Calibri" w:cs="Calibri" w:eastAsia="Calibri" w:hAnsi="Calibri"/>
          <w:b/>
          <w:bCs/>
          <w:sz w:val="22"/>
          <w:szCs w:val="22"/>
        </w:rPr>
        <w:t xml:space="preserve">Form STD 1000, GenAI Disclosure and Factsheet.</w:t>
      </w:r>
      <w:r>
        <w:rPr>
          <w:rFonts w:ascii="Calibri" w:cs="Calibri" w:eastAsia="Calibri" w:hAnsi="Calibri"/>
          <w:sz w:val="22"/>
          <w:szCs w:val="22"/>
        </w:rPr>
        <w:t xml:space="preserve"> Bidders complete and return it at time of bid. It is a standard state form. You do not have to draft one.</w:t>
      </w:r>
    </w:p>
    <w:p>
      <w:pPr>
        <w:pStyle w:val="ListParagraph"/>
        <w:numPr>
          <w:ilvl w:val="0"/>
          <w:numId w:val="2"/>
        </w:numPr>
        <w:spacing w:after="70" w:line="268"/>
      </w:pPr>
      <w:r>
        <w:rPr>
          <w:rFonts w:ascii="Calibri" w:cs="Calibri" w:eastAsia="Calibri" w:hAnsi="Calibri"/>
          <w:b/>
          <w:bCs/>
          <w:sz w:val="22"/>
          <w:szCs w:val="22"/>
        </w:rPr>
        <w:t xml:space="preserve">State of California GenAI Toolkit for Procurement, Use, and Training.</w:t>
      </w:r>
      <w:r>
        <w:rPr>
          <w:rFonts w:ascii="Calibri" w:cs="Calibri" w:eastAsia="Calibri" w:hAnsi="Calibri"/>
          <w:sz w:val="22"/>
          <w:szCs w:val="22"/>
        </w:rPr>
        <w:t xml:space="preserve"> The source document. Incorporated into State Contracting Manual Volume 2, Chapter 23.</w:t>
      </w:r>
    </w:p>
    <w:p>
      <w:pPr>
        <w:pStyle w:val="ListParagraph"/>
        <w:numPr>
          <w:ilvl w:val="0"/>
          <w:numId w:val="2"/>
        </w:numPr>
        <w:spacing w:after="70" w:line="268"/>
      </w:pPr>
      <w:r>
        <w:rPr>
          <w:rFonts w:ascii="Calibri" w:cs="Calibri" w:eastAsia="Calibri" w:hAnsi="Calibri"/>
          <w:sz w:val="22"/>
          <w:szCs w:val="22"/>
        </w:rPr>
        <w:t xml:space="preserve">Related requirements in the same bulletin: a written solicitation is required for GenAI purchases, so the streamlined no-quote methods are off the table. Department CIO confirmation is required before proceeding. A risk assessment applies from July 1, 2024.</w:t>
      </w:r>
    </w:p>
    <w:p>
      <w:pPr>
        <w:spacing w:after="140" w:line="276"/>
      </w:pPr>
      <w:r>
        <w:rPr>
          <w:rFonts w:ascii="Calibri" w:cs="Calibri" w:eastAsia="Calibri" w:hAnsi="Calibri"/>
          <w:sz w:val="22"/>
          <w:szCs w:val="22"/>
        </w:rPr>
        <w:t xml:space="preserve">One caveat worth stating plainly. This binds state entities under the State Contracting Manual. A county is not covered. But it is California guidance, it is public, it is free to adapt, and it will carry more weight with your County Counsel than anything issued in Washington.</w:t>
      </w:r>
    </w:p>
    <w:p>
      <w:pPr>
        <w:pStyle w:val="Heading2"/>
        <w:spacing w:after="130" w:before="320"/>
      </w:pPr>
      <w:r>
        <w:rPr>
          <w:rFonts w:ascii="Calibri" w:cs="Calibri" w:eastAsia="Calibri" w:hAnsi="Calibri"/>
          <w:b/>
          <w:bCs/>
          <w:color w:val="1F3864"/>
          <w:sz w:val="22"/>
          <w:szCs w:val="22"/>
        </w:rPr>
        <w:t xml:space="preserve">DC, for the fuller treatment</w:t>
      </w:r>
    </w:p>
    <w:p>
      <w:pPr>
        <w:spacing w:after="140" w:line="276"/>
      </w:pPr>
      <w:r>
        <w:rPr>
          <w:rFonts w:ascii="Calibri" w:cs="Calibri" w:eastAsia="Calibri" w:hAnsi="Calibri"/>
          <w:sz w:val="22"/>
          <w:szCs w:val="22"/>
        </w:rPr>
        <w:t xml:space="preserve">The </w:t>
      </w:r>
      <w:r>
        <w:rPr>
          <w:rFonts w:ascii="Calibri" w:cs="Calibri" w:eastAsia="Calibri" w:hAnsi="Calibri"/>
          <w:b/>
          <w:bCs/>
          <w:sz w:val="22"/>
          <w:szCs w:val="22"/>
        </w:rPr>
        <w:t xml:space="preserve">DC AI Procurement Handbook</w:t>
      </w:r>
      <w:r>
        <w:rPr>
          <w:rFonts w:ascii="Calibri" w:cs="Calibri" w:eastAsia="Calibri" w:hAnsi="Calibri"/>
          <w:sz w:val="22"/>
          <w:szCs w:val="22"/>
        </w:rPr>
        <w:t xml:space="preserve">, February 2025, 36 pages, issued by the Office of Contracting and Procurement under Mayor's Order 2024-028. DC cites the California toolkit as its source for the disclosure clause.</w:t>
      </w:r>
    </w:p>
    <w:p>
      <w:pPr>
        <w:spacing w:after="140" w:line="276"/>
      </w:pPr>
      <w:r>
        <w:rPr>
          <w:rFonts w:ascii="Calibri" w:cs="Calibri" w:eastAsia="Calibri" w:hAnsi="Calibri"/>
          <w:b/>
          <w:bCs/>
          <w:sz w:val="22"/>
          <w:szCs w:val="22"/>
        </w:rPr>
        <w:t xml:space="preserve">The design decision worth copying.</w:t>
      </w:r>
      <w:r>
        <w:rPr>
          <w:rFonts w:ascii="Calibri" w:cs="Calibri" w:eastAsia="Calibri" w:hAnsi="Calibri"/>
          <w:sz w:val="22"/>
          <w:szCs w:val="22"/>
        </w:rPr>
        <w:t xml:space="preserve"> Their AI Notification Clause goes in every solicitation for services and information technology, regardless of procurement method or contract type. Not a separate AI track. Embedded AI shows up inside purchases nobody labeled AI. A separate AI process misses exactly that case.</w:t>
      </w:r>
    </w:p>
    <w:p>
      <w:pPr>
        <w:spacing w:after="140" w:line="276"/>
      </w:pPr>
      <w:r>
        <w:rPr>
          <w:rFonts w:ascii="Calibri" w:cs="Calibri" w:eastAsia="Calibri" w:hAnsi="Calibri"/>
          <w:sz w:val="22"/>
          <w:szCs w:val="22"/>
        </w:rPr>
        <w:t xml:space="preserve">Their clause, verbatim:</w:t>
      </w:r>
    </w:p>
    <w:p>
      <w:pPr>
        <w:pBdr>
          <w:left w:val="single" w:color="2E5496" w:sz="18" w:space="8"/>
        </w:pBdr>
        <w:shd w:fill="F2F5FA" w:val="clear"/>
        <w:spacing w:after="180" w:before="140" w:line="276"/>
        <w:ind w:left="140" w:right="140"/>
      </w:pPr>
      <w:r>
        <w:rPr>
          <w:rFonts w:ascii="Calibri" w:cs="Calibri" w:eastAsia="Calibri" w:hAnsi="Calibri"/>
          <w:sz w:val="22"/>
          <w:szCs w:val="22"/>
        </w:rPr>
        <w:t xml:space="preserve">Offeror must notify the contracting officer in writing if their solution or service includes, or makes available, any AI including AI from third parties or subcontractors.  During the term of the contract, Contractor must notify the contracting officer in writing if their services or any work under this contract includes, or makes available, any previously unreported AI technology, including AI from third parties or subcontractors.  At the direction of the contracting officer, Contractor shall discontinue the use of any new or previously undisclosed AI technology that materially impacts functionality, risk or contract performance, until use of such AI technology has been approved by the District.  Failure to disclose AI use to the District may be considered a breach of the contract by the District at its sole discretion and the District may consider such failure to disclose AI as grounds for the termination of the contract. The District is entitled to seek any and all relief it may be entitled to as a result of such non-disclosure.</w:t>
      </w:r>
    </w:p>
    <w:p>
      <w:pPr>
        <w:spacing w:after="140" w:line="276"/>
      </w:pPr>
      <w:r>
        <w:rPr>
          <w:rFonts w:ascii="Calibri" w:cs="Calibri" w:eastAsia="Calibri" w:hAnsi="Calibri"/>
          <w:sz w:val="22"/>
          <w:szCs w:val="22"/>
        </w:rPr>
        <w:t xml:space="preserve">Four properties that make it work. It applies to everything, not just AI buys. It reaches third parties and subcontractors, which is how embedded AI usually arrives. It is continuing rather than one time, so it catches the AI that appears in next quarter's release notes. And it has a kill switch plus termination rights.</w:t>
      </w:r>
    </w:p>
    <w:p>
      <w:pPr>
        <w:spacing w:after="140" w:line="276"/>
      </w:pPr>
      <w:r>
        <w:rPr>
          <w:rFonts w:ascii="Calibri" w:cs="Calibri" w:eastAsia="Calibri" w:hAnsi="Calibri"/>
          <w:b/>
          <w:bCs/>
          <w:sz w:val="22"/>
          <w:szCs w:val="22"/>
        </w:rPr>
        <w:t xml:space="preserve">Other pieces worth taking:</w:t>
      </w:r>
    </w:p>
    <w:p>
      <w:pPr>
        <w:pStyle w:val="ListParagraph"/>
        <w:numPr>
          <w:ilvl w:val="0"/>
          <w:numId w:val="2"/>
        </w:numPr>
        <w:spacing w:after="70" w:line="268"/>
      </w:pPr>
      <w:r>
        <w:rPr>
          <w:rFonts w:ascii="Calibri" w:cs="Calibri" w:eastAsia="Calibri" w:hAnsi="Calibri"/>
          <w:sz w:val="22"/>
          <w:szCs w:val="22"/>
        </w:rPr>
        <w:t xml:space="preserve">One sentence from their contract addendum: "This Addendum governs over any contrary license terms and the District will not agree to any terms that conflict with the Addendum." That defeats click-through vendor terms of service.</w:t>
      </w:r>
    </w:p>
    <w:p>
      <w:pPr>
        <w:pStyle w:val="ListParagraph"/>
        <w:numPr>
          <w:ilvl w:val="0"/>
          <w:numId w:val="2"/>
        </w:numPr>
        <w:spacing w:after="70" w:line="268"/>
      </w:pPr>
      <w:r>
        <w:rPr>
          <w:rFonts w:ascii="Calibri" w:cs="Calibri" w:eastAsia="Calibri" w:hAnsi="Calibri"/>
          <w:sz w:val="22"/>
          <w:szCs w:val="22"/>
        </w:rPr>
        <w:t xml:space="preserve">Their </w:t>
      </w:r>
      <w:r>
        <w:rPr>
          <w:rFonts w:ascii="Calibri" w:cs="Calibri" w:eastAsia="Calibri" w:hAnsi="Calibri"/>
          <w:b/>
          <w:bCs/>
          <w:sz w:val="22"/>
          <w:szCs w:val="22"/>
        </w:rPr>
        <w:t xml:space="preserve">Automated Decision System</w:t>
      </w:r>
      <w:r>
        <w:rPr>
          <w:rFonts w:ascii="Calibri" w:cs="Calibri" w:eastAsia="Calibri" w:hAnsi="Calibri"/>
          <w:sz w:val="22"/>
          <w:szCs w:val="22"/>
        </w:rPr>
        <w:t xml:space="preserve"> definition, mostly because of what it excludes. Spam filters, firewalls, antivirus, identity and access management, calculators, databases. The carve-out is what keeps the definition from swallowing all software.</w:t>
      </w:r>
    </w:p>
    <w:p>
      <w:pPr>
        <w:pStyle w:val="ListParagraph"/>
        <w:numPr>
          <w:ilvl w:val="0"/>
          <w:numId w:val="2"/>
        </w:numPr>
        <w:spacing w:after="70" w:line="268"/>
      </w:pPr>
      <w:r>
        <w:rPr>
          <w:rFonts w:ascii="Calibri" w:cs="Calibri" w:eastAsia="Calibri" w:hAnsi="Calibri"/>
          <w:sz w:val="22"/>
          <w:szCs w:val="22"/>
        </w:rPr>
        <w:t xml:space="preserve">Their three question screen for identifying AI. Does it use data to provide predictions, recommendations, insights, or decisions. Does it augment human decision making. Does the vendor use words like personalized, tailored, adaptive. The third is a marketing copy test and a contract specialist can apply it without a data scientist.</w:t>
      </w:r>
    </w:p>
    <w:p>
      <w:pPr>
        <w:pStyle w:val="ListParagraph"/>
        <w:numPr>
          <w:ilvl w:val="0"/>
          <w:numId w:val="2"/>
        </w:numPr>
        <w:spacing w:after="70" w:line="268"/>
      </w:pPr>
      <w:r>
        <w:rPr>
          <w:rFonts w:ascii="Calibri" w:cs="Calibri" w:eastAsia="Calibri" w:hAnsi="Calibri"/>
          <w:sz w:val="22"/>
          <w:szCs w:val="22"/>
        </w:rPr>
        <w:t xml:space="preserve">Their </w:t>
      </w:r>
      <w:r>
        <w:rPr>
          <w:rFonts w:ascii="Calibri" w:cs="Calibri" w:eastAsia="Calibri" w:hAnsi="Calibri"/>
          <w:b/>
          <w:bCs/>
          <w:sz w:val="22"/>
          <w:szCs w:val="22"/>
        </w:rPr>
        <w:t xml:space="preserve">AI Factsheet</w:t>
      </w:r>
      <w:r>
        <w:rPr>
          <w:rFonts w:ascii="Calibri" w:cs="Calibri" w:eastAsia="Calibri" w:hAnsi="Calibri"/>
          <w:sz w:val="22"/>
          <w:szCs w:val="22"/>
        </w:rPr>
        <w:t xml:space="preserve">, Appendix B. Fifteen fields plus an algorithmic impact questionnaire. Comparable to California's STD 1000.</w:t>
      </w:r>
    </w:p>
    <w:p>
      <w:pPr>
        <w:pStyle w:val="ListParagraph"/>
        <w:numPr>
          <w:ilvl w:val="0"/>
          <w:numId w:val="2"/>
        </w:numPr>
        <w:spacing w:after="70" w:line="268"/>
      </w:pPr>
      <w:r>
        <w:rPr>
          <w:rFonts w:ascii="Calibri" w:cs="Calibri" w:eastAsia="Calibri" w:hAnsi="Calibri"/>
          <w:sz w:val="22"/>
          <w:szCs w:val="22"/>
        </w:rPr>
        <w:t xml:space="preserve">Their post award loop. A change to the AI after award triggers notification, agency and OCTO review, a possible Factsheet update, and a decision on whether the contract needs modifying.</w:t>
      </w:r>
    </w:p>
    <w:p>
      <w:pPr>
        <w:pStyle w:val="Heading2"/>
        <w:spacing w:after="130" w:before="320"/>
      </w:pPr>
      <w:r>
        <w:rPr>
          <w:rFonts w:ascii="Calibri" w:cs="Calibri" w:eastAsia="Calibri" w:hAnsi="Calibri"/>
          <w:b/>
          <w:bCs/>
          <w:color w:val="1F3864"/>
          <w:sz w:val="22"/>
          <w:szCs w:val="22"/>
        </w:rPr>
        <w:t xml:space="preserve">Where both frameworks fall short</w:t>
      </w:r>
    </w:p>
    <w:p>
      <w:pPr>
        <w:spacing w:after="140" w:line="276"/>
      </w:pPr>
      <w:r>
        <w:rPr>
          <w:rFonts w:ascii="Calibri" w:cs="Calibri" w:eastAsia="Calibri" w:hAnsi="Calibri"/>
          <w:sz w:val="22"/>
          <w:szCs w:val="22"/>
        </w:rPr>
        <w:t xml:space="preserve">This is the part I would flag before anyone adopts either one.</w:t>
      </w:r>
    </w:p>
    <w:p>
      <w:pPr>
        <w:spacing w:after="140" w:line="276"/>
      </w:pPr>
      <w:r>
        <w:rPr>
          <w:rFonts w:ascii="Calibri" w:cs="Calibri" w:eastAsia="Calibri" w:hAnsi="Calibri"/>
          <w:sz w:val="22"/>
          <w:szCs w:val="22"/>
        </w:rPr>
        <w:t xml:space="preserve">Both force disclosure that </w:t>
      </w:r>
      <w:r>
        <w:rPr>
          <w:rFonts w:ascii="Calibri" w:cs="Calibri" w:eastAsia="Calibri" w:hAnsi="Calibri"/>
          <w:b/>
          <w:bCs/>
          <w:sz w:val="22"/>
          <w:szCs w:val="22"/>
        </w:rPr>
        <w:t xml:space="preserve">AI exists</w:t>
      </w:r>
      <w:r>
        <w:rPr>
          <w:rFonts w:ascii="Calibri" w:cs="Calibri" w:eastAsia="Calibri" w:hAnsi="Calibri"/>
          <w:sz w:val="22"/>
          <w:szCs w:val="22"/>
        </w:rPr>
        <w:t xml:space="preserve">. Neither answers the two questions your procurement people actually asked.</w:t>
      </w:r>
    </w:p>
    <w:p>
      <w:pPr>
        <w:spacing w:after="140" w:line="276"/>
      </w:pPr>
      <w:r>
        <w:rPr>
          <w:rFonts w:ascii="Calibri" w:cs="Calibri" w:eastAsia="Calibri" w:hAnsi="Calibri"/>
          <w:b/>
          <w:bCs/>
          <w:sz w:val="22"/>
          <w:szCs w:val="22"/>
        </w:rPr>
        <w:t xml:space="preserve">On training against your data.</w:t>
      </w:r>
      <w:r>
        <w:rPr>
          <w:rFonts w:ascii="Calibri" w:cs="Calibri" w:eastAsia="Calibri" w:hAnsi="Calibri"/>
          <w:sz w:val="22"/>
          <w:szCs w:val="22"/>
        </w:rPr>
        <w:t xml:space="preserve"> DC's Factsheet asks how the vendor's system was trained historically. That is the vendor's training record, not a forward commitment about your data. Their confidentiality clause reaches training by implication but never uses the word. A vendor can comply while arguing that model improvement is authorized service delivery, that embeddings or derived data are not your data, or that an upstream model provider did the training, not them.</w:t>
      </w:r>
    </w:p>
    <w:p>
      <w:pPr>
        <w:spacing w:after="140" w:line="276"/>
      </w:pPr>
      <w:r>
        <w:rPr>
          <w:rFonts w:ascii="Calibri" w:cs="Calibri" w:eastAsia="Calibri" w:hAnsi="Calibri"/>
          <w:b/>
          <w:bCs/>
          <w:sz w:val="22"/>
          <w:szCs w:val="22"/>
        </w:rPr>
        <w:t xml:space="preserve">On automated decision making.</w:t>
      </w:r>
      <w:r>
        <w:rPr>
          <w:rFonts w:ascii="Calibri" w:cs="Calibri" w:eastAsia="Calibri" w:hAnsi="Calibri"/>
          <w:sz w:val="22"/>
          <w:szCs w:val="22"/>
        </w:rPr>
        <w:t xml:space="preserve"> DC defines the term well but there is no disclosure trigger attached to it. Nothing requires a vendor to say "this product makes or materially informs decisions about people." A vendor can truthfully disclose AI and never surface that it scores applicants.</w:t>
      </w:r>
    </w:p>
    <w:p>
      <w:pPr>
        <w:spacing w:after="140" w:line="276"/>
      </w:pPr>
      <w:r>
        <w:rPr>
          <w:rFonts w:ascii="Calibri" w:cs="Calibri" w:eastAsia="Calibri" w:hAnsi="Calibri"/>
          <w:sz w:val="22"/>
          <w:szCs w:val="22"/>
        </w:rPr>
        <w:t xml:space="preserve">Our working answer is to ask about the capability rather than the label. Vendors argue about whether something is AI. They have a harder time denying that a feature produces a score used to rank people.</w:t>
      </w:r>
    </w:p>
    <w:p>
      <w:pPr>
        <w:pStyle w:val="Heading2"/>
        <w:spacing w:after="130" w:before="320"/>
      </w:pPr>
      <w:r>
        <w:rPr>
          <w:rFonts w:ascii="Calibri" w:cs="Calibri" w:eastAsia="Calibri" w:hAnsi="Calibri"/>
          <w:b/>
          <w:bCs/>
          <w:color w:val="1F3864"/>
          <w:sz w:val="22"/>
          <w:szCs w:val="22"/>
        </w:rPr>
        <w:t xml:space="preserve">What we are building</w:t>
      </w:r>
    </w:p>
    <w:p>
      <w:pPr>
        <w:spacing w:after="140" w:line="276"/>
      </w:pPr>
      <w:r>
        <w:rPr>
          <w:rFonts w:ascii="Calibri" w:cs="Calibri" w:eastAsia="Calibri" w:hAnsi="Calibri"/>
          <w:sz w:val="22"/>
          <w:szCs w:val="22"/>
        </w:rPr>
        <w:t xml:space="preserve">We split the work in two, and that separation is the point.</w:t>
      </w:r>
    </w:p>
    <w:p>
      <w:pPr>
        <w:spacing w:after="140" w:line="276"/>
      </w:pPr>
      <w:r>
        <w:rPr>
          <w:rFonts w:ascii="Calibri" w:cs="Calibri" w:eastAsia="Calibri" w:hAnsi="Calibri"/>
          <w:b/>
          <w:bCs/>
          <w:sz w:val="22"/>
          <w:szCs w:val="22"/>
        </w:rPr>
        <w:t xml:space="preserve">Part 1 is the challenge.</w:t>
      </w:r>
      <w:r>
        <w:rPr>
          <w:rFonts w:ascii="Calibri" w:cs="Calibri" w:eastAsia="Calibri" w:hAnsi="Calibri"/>
          <w:sz w:val="22"/>
          <w:szCs w:val="22"/>
        </w:rPr>
        <w:t xml:space="preserve"> The service problem, the domain, the data, what success looks like. It is written fresh every time.</w:t>
      </w:r>
    </w:p>
    <w:p>
      <w:pPr>
        <w:spacing w:after="140" w:line="276"/>
      </w:pPr>
      <w:r>
        <w:rPr>
          <w:rFonts w:ascii="Calibri" w:cs="Calibri" w:eastAsia="Calibri" w:hAnsi="Calibri"/>
          <w:b/>
          <w:bCs/>
          <w:sz w:val="22"/>
          <w:szCs w:val="22"/>
        </w:rPr>
        <w:t xml:space="preserve">Part 2 is the mechanism and the pathway.</w:t>
      </w:r>
      <w:r>
        <w:rPr>
          <w:rFonts w:ascii="Calibri" w:cs="Calibri" w:eastAsia="Calibri" w:hAnsi="Calibri"/>
          <w:sz w:val="22"/>
          <w:szCs w:val="22"/>
        </w:rPr>
        <w:t xml:space="preserve"> Stages, gates, evaluation, terms, governance. It does not change between challenges. Procurement owns it as a standing template.</w:t>
      </w:r>
    </w:p>
    <w:p>
      <w:pPr>
        <w:spacing w:after="140" w:line="276"/>
      </w:pPr>
      <w:r>
        <w:rPr>
          <w:rFonts w:ascii="Calibri" w:cs="Calibri" w:eastAsia="Calibri" w:hAnsi="Calibri"/>
          <w:sz w:val="22"/>
          <w:szCs w:val="22"/>
        </w:rPr>
        <w:t xml:space="preserve">Most of what is reusable sits in Part 2. Here is what is in it that we think travels.</w:t>
      </w:r>
    </w:p>
    <w:p>
      <w:pPr>
        <w:spacing w:after="140" w:line="276"/>
      </w:pPr>
      <w:r>
        <w:rPr>
          <w:rFonts w:ascii="Calibri" w:cs="Calibri" w:eastAsia="Calibri" w:hAnsi="Calibri"/>
          <w:b/>
          <w:bCs/>
          <w:sz w:val="22"/>
          <w:szCs w:val="22"/>
        </w:rPr>
        <w:t xml:space="preserve">Gates carry numeric thresholds.</w:t>
      </w:r>
      <w:r>
        <w:rPr>
          <w:rFonts w:ascii="Calibri" w:cs="Calibri" w:eastAsia="Calibri" w:hAnsi="Calibri"/>
          <w:sz w:val="22"/>
          <w:szCs w:val="22"/>
        </w:rPr>
        <w:t xml:space="preserve"> A gate without a threshold is not a gate. "Acceptable performance" is not a criterion. Thresholds are set before the announcement publishes and disclosed to respondents.</w:t>
      </w:r>
    </w:p>
    <w:p>
      <w:pPr>
        <w:spacing w:after="140" w:line="276"/>
      </w:pPr>
      <w:r>
        <w:rPr>
          <w:rFonts w:ascii="Calibri" w:cs="Calibri" w:eastAsia="Calibri" w:hAnsi="Calibri"/>
          <w:b/>
          <w:bCs/>
          <w:sz w:val="22"/>
          <w:szCs w:val="22"/>
        </w:rPr>
        <w:t xml:space="preserve">Pass/fail floors sit outside the score.</w:t>
      </w:r>
      <w:r>
        <w:rPr>
          <w:rFonts w:ascii="Calibri" w:cs="Calibri" w:eastAsia="Calibri" w:hAnsi="Calibri"/>
          <w:sz w:val="22"/>
          <w:szCs w:val="22"/>
        </w:rPr>
        <w:t xml:space="preserve"> Safety and material error handling, security and approved data handling, prohibited data use, preservation of staff decision authority. Fail one and you are ineligible regardless of total score.</w:t>
      </w:r>
    </w:p>
    <w:p>
      <w:pPr>
        <w:spacing w:after="140" w:line="276"/>
      </w:pPr>
      <w:r>
        <w:rPr>
          <w:rFonts w:ascii="Calibri" w:cs="Calibri" w:eastAsia="Calibri" w:hAnsi="Calibri"/>
          <w:b/>
          <w:bCs/>
          <w:sz w:val="22"/>
          <w:szCs w:val="22"/>
        </w:rPr>
        <w:t xml:space="preserve">Measure the baseline before the announcement goes out.</w:t>
      </w:r>
      <w:r>
        <w:rPr>
          <w:rFonts w:ascii="Calibri" w:cs="Calibri" w:eastAsia="Calibri" w:hAnsi="Calibri"/>
          <w:sz w:val="22"/>
          <w:szCs w:val="22"/>
        </w:rPr>
        <w:t xml:space="preserve"> Improvement is unprovable without current state. This is the most common reason pilots fail and it costs nothing to fix. In our case that means current cycle time, rework and resubmittal rate, reviewer consistency, and first pass completeness.</w:t>
      </w:r>
    </w:p>
    <w:p>
      <w:pPr>
        <w:spacing w:after="140" w:line="276"/>
      </w:pPr>
      <w:r>
        <w:rPr>
          <w:rFonts w:ascii="Calibri" w:cs="Calibri" w:eastAsia="Calibri" w:hAnsi="Calibri"/>
          <w:b/>
          <w:bCs/>
          <w:sz w:val="22"/>
          <w:szCs w:val="22"/>
        </w:rPr>
        <w:t xml:space="preserve">Build the ground truth before you start.</w:t>
      </w:r>
      <w:r>
        <w:rPr>
          <w:rFonts w:ascii="Calibri" w:cs="Calibri" w:eastAsia="Calibri" w:hAnsi="Calibri"/>
          <w:sz w:val="22"/>
          <w:szCs w:val="22"/>
        </w:rPr>
        <w:t xml:space="preserve"> If you intend to score a vendor against correct answers, someone has to write the correct answers first. That is subject matter expert time, it sits on the critical path, and nobody budgets it.</w:t>
      </w:r>
    </w:p>
    <w:p>
      <w:pPr>
        <w:spacing w:after="140" w:line="276"/>
      </w:pPr>
      <w:r>
        <w:rPr>
          <w:rFonts w:ascii="Calibri" w:cs="Calibri" w:eastAsia="Calibri" w:hAnsi="Calibri"/>
          <w:b/>
          <w:bCs/>
          <w:sz w:val="22"/>
          <w:szCs w:val="22"/>
        </w:rPr>
        <w:t xml:space="preserve">Data and intellectual property split six ways.</w:t>
      </w:r>
      <w:r>
        <w:rPr>
          <w:rFonts w:ascii="Calibri" w:cs="Calibri" w:eastAsia="Calibri" w:hAnsi="Calibri"/>
          <w:sz w:val="22"/>
          <w:szCs w:val="22"/>
        </w:rPr>
        <w:t xml:space="preserve"> City materials. Vendor background technology. Challenge results. City-specific configurations. General product improvements. Data and derived data. The last two are where vendors find room if you do not name them separately. Our language prohibits using City data or derived data to train, test, or improve unrelated models or products, and separately prohibits folding City material into a general product without written authorization.</w:t>
      </w:r>
    </w:p>
    <w:p>
      <w:pPr>
        <w:spacing w:after="140" w:line="276"/>
      </w:pPr>
      <w:r>
        <w:rPr>
          <w:rFonts w:ascii="Calibri" w:cs="Calibri" w:eastAsia="Calibri" w:hAnsi="Calibri"/>
          <w:b/>
          <w:bCs/>
          <w:sz w:val="22"/>
          <w:szCs w:val="22"/>
        </w:rPr>
        <w:t xml:space="preserve">Error severity instead of a single accuracy number.</w:t>
      </w:r>
      <w:r>
        <w:rPr>
          <w:rFonts w:ascii="Calibri" w:cs="Calibri" w:eastAsia="Calibri" w:hAnsi="Calibri"/>
          <w:sz w:val="22"/>
          <w:szCs w:val="22"/>
        </w:rPr>
        <w:t xml:space="preserve"> Critical or life safety, material, minor, administrative, informational. Thresholds are set per class. A missed life safety finding is not offset by a good average.</w:t>
      </w:r>
    </w:p>
    <w:p>
      <w:pPr>
        <w:spacing w:after="140" w:line="276"/>
      </w:pPr>
      <w:r>
        <w:rPr>
          <w:rFonts w:ascii="Calibri" w:cs="Calibri" w:eastAsia="Calibri" w:hAnsi="Calibri"/>
          <w:b/>
          <w:bCs/>
          <w:sz w:val="22"/>
          <w:szCs w:val="22"/>
        </w:rPr>
        <w:t xml:space="preserve">Eleven triggers that force re-review.</w:t>
      </w:r>
      <w:r>
        <w:rPr>
          <w:rFonts w:ascii="Calibri" w:cs="Calibri" w:eastAsia="Calibri" w:hAnsi="Calibri"/>
          <w:sz w:val="22"/>
          <w:szCs w:val="22"/>
        </w:rPr>
        <w:t xml:space="preserve"> Model replacement. Material version update. Changes to prompts or instructions affecting behavior. Changes to source documents or requirements. A new integration or external tool. A change in data inputs or classification. Expansion to a new application type or user group. Introduction of autonomous or agentic functions. A change in hosting. A change in a material subcontractor or third party provider. A material change in retention, logging, or data use.</w:t>
      </w:r>
    </w:p>
    <w:p>
      <w:pPr>
        <w:spacing w:after="140" w:line="276"/>
      </w:pPr>
      <w:r>
        <w:rPr>
          <w:rFonts w:ascii="Calibri" w:cs="Calibri" w:eastAsia="Calibri" w:hAnsi="Calibri"/>
          <w:b/>
          <w:bCs/>
          <w:sz w:val="22"/>
          <w:szCs w:val="22"/>
        </w:rPr>
        <w:t xml:space="preserve">Acceptance, payment, and advancement are separate decisions.</w:t>
      </w:r>
      <w:r>
        <w:rPr>
          <w:rFonts w:ascii="Calibri" w:cs="Calibri" w:eastAsia="Calibri" w:hAnsi="Calibri"/>
          <w:sz w:val="22"/>
          <w:szCs w:val="22"/>
        </w:rPr>
        <w:t xml:space="preserve"> We say so in writing. Completing a stage does not earn advancement, procurement preference, or future work.</w:t>
      </w:r>
    </w:p>
    <w:p>
      <w:pPr>
        <w:spacing w:after="140" w:line="276"/>
      </w:pPr>
      <w:r>
        <w:rPr>
          <w:rFonts w:ascii="Calibri" w:cs="Calibri" w:eastAsia="Calibri" w:hAnsi="Calibri"/>
          <w:b/>
          <w:bCs/>
          <w:sz w:val="22"/>
          <w:szCs w:val="22"/>
        </w:rPr>
        <w:t xml:space="preserve">We publish our open items.</w:t>
      </w:r>
      <w:r>
        <w:rPr>
          <w:rFonts w:ascii="Calibri" w:cs="Calibri" w:eastAsia="Calibri" w:hAnsi="Calibri"/>
          <w:sz w:val="22"/>
          <w:szCs w:val="22"/>
        </w:rPr>
        <w:t xml:space="preserve"> Twenty four of them with named owners. Nobody has to guess what is unfinished.</w:t>
      </w:r>
    </w:p>
    <w:p>
      <w:pPr>
        <w:pStyle w:val="Heading2"/>
        <w:spacing w:after="130" w:before="320"/>
      </w:pPr>
      <w:r>
        <w:rPr>
          <w:rFonts w:ascii="Calibri" w:cs="Calibri" w:eastAsia="Calibri" w:hAnsi="Calibri"/>
          <w:b/>
          <w:bCs/>
          <w:color w:val="1F3864"/>
          <w:sz w:val="22"/>
          <w:szCs w:val="22"/>
        </w:rPr>
        <w:t xml:space="preserve">Where we actually are</w:t>
      </w:r>
    </w:p>
    <w:p>
      <w:pPr>
        <w:pStyle w:val="ListParagraph"/>
        <w:numPr>
          <w:ilvl w:val="0"/>
          <w:numId w:val="2"/>
        </w:numPr>
        <w:spacing w:after="70" w:line="268"/>
      </w:pPr>
      <w:r>
        <w:rPr>
          <w:rFonts w:ascii="Calibri" w:cs="Calibri" w:eastAsia="Calibri" w:hAnsi="Calibri"/>
          <w:sz w:val="22"/>
          <w:szCs w:val="22"/>
        </w:rPr>
        <w:t xml:space="preserve">We are pre-launch. Procurement intake is submitted. Nothing has been run and there are no results yet.</w:t>
      </w:r>
    </w:p>
    <w:p>
      <w:pPr>
        <w:pStyle w:val="ListParagraph"/>
        <w:numPr>
          <w:ilvl w:val="0"/>
          <w:numId w:val="2"/>
        </w:numPr>
        <w:spacing w:after="70" w:line="268"/>
      </w:pPr>
      <w:r>
        <w:rPr>
          <w:rFonts w:ascii="Calibri" w:cs="Calibri" w:eastAsia="Calibri" w:hAnsi="Calibri"/>
          <w:sz w:val="22"/>
          <w:szCs w:val="22"/>
        </w:rPr>
        <w:t xml:space="preserve">Our own gate thresholds are not set. We wrote the rule and have not met it yet.</w:t>
      </w:r>
    </w:p>
    <w:p>
      <w:pPr>
        <w:pStyle w:val="ListParagraph"/>
        <w:numPr>
          <w:ilvl w:val="0"/>
          <w:numId w:val="2"/>
        </w:numPr>
        <w:spacing w:after="70" w:line="268"/>
      </w:pPr>
      <w:r>
        <w:rPr>
          <w:rFonts w:ascii="Calibri" w:cs="Calibri" w:eastAsia="Calibri" w:hAnsi="Calibri"/>
          <w:sz w:val="22"/>
          <w:szCs w:val="22"/>
        </w:rPr>
        <w:t xml:space="preserve">Law has not reviewed our clause language. Anything I send on that is draft.</w:t>
      </w:r>
    </w:p>
    <w:p>
      <w:pPr>
        <w:pStyle w:val="ListParagraph"/>
        <w:numPr>
          <w:ilvl w:val="0"/>
          <w:numId w:val="2"/>
        </w:numPr>
        <w:spacing w:after="70" w:line="268"/>
      </w:pPr>
      <w:r>
        <w:rPr>
          <w:rFonts w:ascii="Calibri" w:cs="Calibri" w:eastAsia="Calibri" w:hAnsi="Calibri"/>
          <w:sz w:val="22"/>
          <w:szCs w:val="22"/>
        </w:rPr>
        <w:t xml:space="preserve">The program itself assumes staff and budget that not every jurisdiction has. Three teams, a stipend each, forty five days of co-design, plus the subject matter expert time to build a blind test set. The clauses do not carry that cost. Neither does the gate discipline. The program does.</w:t>
      </w:r>
    </w:p>
    <w:p>
      <w:pPr>
        <w:spacing w:after="140" w:line="276"/>
      </w:pPr>
      <w:r>
        <w:rPr>
          <w:rFonts w:ascii="Calibri" w:cs="Calibri" w:eastAsia="Calibri" w:hAnsi="Calibri"/>
          <w:sz w:val="22"/>
          <w:szCs w:val="22"/>
        </w:rPr>
        <w:t xml:space="preserve">I would rather have this looked at now, while it can still change, than show anyone a post mortem in a year.</w:t>
      </w:r>
    </w:p>
    <w:p>
      <w:pPr>
        <w:pStyle w:val="Heading2"/>
        <w:spacing w:after="130" w:before="320"/>
      </w:pPr>
      <w:r>
        <w:rPr>
          <w:rFonts w:ascii="Calibri" w:cs="Calibri" w:eastAsia="Calibri" w:hAnsi="Calibri"/>
          <w:b/>
          <w:bCs/>
          <w:color w:val="1F3864"/>
          <w:sz w:val="22"/>
          <w:szCs w:val="22"/>
        </w:rPr>
        <w:t xml:space="preserve">Links</w:t>
      </w:r>
    </w:p>
    <w:p>
      <w:pPr>
        <w:spacing w:after="140" w:line="276"/>
      </w:pPr>
      <w:r>
        <w:rPr>
          <w:rFonts w:ascii="Calibri" w:cs="Calibri" w:eastAsia="Calibri" w:hAnsi="Calibri"/>
          <w:b/>
          <w:bCs/>
          <w:sz w:val="22"/>
          <w:szCs w:val="22"/>
        </w:rPr>
        <w:t xml:space="preserve">California</w:t>
      </w:r>
    </w:p>
    <w:p>
      <w:pPr>
        <w:pStyle w:val="ListParagraph"/>
        <w:numPr>
          <w:ilvl w:val="0"/>
          <w:numId w:val="2"/>
        </w:numPr>
        <w:spacing w:after="70" w:line="268"/>
      </w:pPr>
      <w:r>
        <w:rPr>
          <w:rFonts w:ascii="Calibri" w:cs="Calibri" w:eastAsia="Calibri" w:hAnsi="Calibri"/>
          <w:sz w:val="22"/>
          <w:szCs w:val="22"/>
        </w:rPr>
        <w:t xml:space="preserve">GenAI Toolkit and guidelines: https://www.cdt.ca.gov/wp-content/uploads/2024/07/3a-GenAI-Guidelines.pdf</w:t>
      </w:r>
    </w:p>
    <w:p>
      <w:pPr>
        <w:pStyle w:val="ListParagraph"/>
        <w:numPr>
          <w:ilvl w:val="0"/>
          <w:numId w:val="2"/>
        </w:numPr>
        <w:spacing w:after="70" w:line="268"/>
      </w:pPr>
      <w:r>
        <w:rPr>
          <w:rFonts w:ascii="Calibri" w:cs="Calibri" w:eastAsia="Calibri" w:hAnsi="Calibri"/>
          <w:sz w:val="22"/>
          <w:szCs w:val="22"/>
        </w:rPr>
        <w:t xml:space="preserve">DGS Broadcast Bulletin P-03-24: https://www.dgs.ca.gov/-/media/Divisions/PD/PTCS/Broadcast-Bulletins/2024/P-Bulletins/BB-P0324-Initial-Procurement-Guidance-Applicable-to-ALL-Purchases-IT--NonIT-to-incorporate-Generativ.pdf</w:t>
      </w:r>
    </w:p>
    <w:p>
      <w:pPr>
        <w:pStyle w:val="ListParagraph"/>
        <w:numPr>
          <w:ilvl w:val="0"/>
          <w:numId w:val="2"/>
        </w:numPr>
        <w:spacing w:after="70" w:line="268"/>
      </w:pPr>
      <w:r>
        <w:rPr>
          <w:rFonts w:ascii="Calibri" w:cs="Calibri" w:eastAsia="Calibri" w:hAnsi="Calibri"/>
          <w:sz w:val="22"/>
          <w:szCs w:val="22"/>
        </w:rPr>
        <w:t xml:space="preserve">GenAI Executive Order page: https://www.govops.ca.gov/generative-ai-genai-executive-order/</w:t>
      </w:r>
    </w:p>
    <w:p>
      <w:pPr>
        <w:pStyle w:val="ListParagraph"/>
        <w:numPr>
          <w:ilvl w:val="0"/>
          <w:numId w:val="2"/>
        </w:numPr>
        <w:spacing w:after="70" w:line="268"/>
      </w:pPr>
      <w:r>
        <w:rPr>
          <w:rFonts w:ascii="Calibri" w:cs="Calibri" w:eastAsia="Calibri" w:hAnsi="Calibri"/>
          <w:sz w:val="22"/>
          <w:szCs w:val="22"/>
        </w:rPr>
        <w:t xml:space="preserve">CDT Technology Letter 24-01: https://cdt.ca.gov/policy/technology-letters/technology-letter-24-01/</w:t>
      </w:r>
    </w:p>
    <w:p>
      <w:pPr>
        <w:spacing w:after="140" w:line="276"/>
      </w:pPr>
      <w:r>
        <w:rPr>
          <w:rFonts w:ascii="Calibri" w:cs="Calibri" w:eastAsia="Calibri" w:hAnsi="Calibri"/>
          <w:b/>
          <w:bCs/>
          <w:sz w:val="22"/>
          <w:szCs w:val="22"/>
        </w:rPr>
        <w:t xml:space="preserve">District of Columbia</w:t>
      </w:r>
    </w:p>
    <w:p>
      <w:pPr>
        <w:pStyle w:val="ListParagraph"/>
        <w:numPr>
          <w:ilvl w:val="0"/>
          <w:numId w:val="2"/>
        </w:numPr>
        <w:spacing w:after="70" w:line="268"/>
      </w:pPr>
      <w:r>
        <w:rPr>
          <w:rFonts w:ascii="Calibri" w:cs="Calibri" w:eastAsia="Calibri" w:hAnsi="Calibri"/>
          <w:sz w:val="22"/>
          <w:szCs w:val="22"/>
        </w:rPr>
        <w:t xml:space="preserve">AI Procurement Handbook: https://techplan.dc.gov/sites/default/files/u23/1E.%20AI%20Procurement%20Handbook%20-FINAL.pdf</w:t>
      </w:r>
    </w:p>
    <w:p>
      <w:pPr>
        <w:pStyle w:val="ListParagraph"/>
        <w:numPr>
          <w:ilvl w:val="0"/>
          <w:numId w:val="2"/>
        </w:numPr>
        <w:spacing w:after="70" w:line="268"/>
      </w:pPr>
      <w:r>
        <w:rPr>
          <w:rFonts w:ascii="Calibri" w:cs="Calibri" w:eastAsia="Calibri" w:hAnsi="Calibri"/>
          <w:sz w:val="22"/>
          <w:szCs w:val="22"/>
        </w:rPr>
        <w:t xml:space="preserve">AI Values and Strategic Plan: https://techplan.dc.gov/page/dcs-ai-values-and-strategic-plan</w:t>
      </w:r>
    </w:p>
    <w:p>
      <w:pPr>
        <w:spacing w:after="140" w:line="276"/>
      </w:pPr>
      <w:r>
        <w:rPr>
          <w:rFonts w:ascii="Calibri" w:cs="Calibri" w:eastAsia="Calibri" w:hAnsi="Calibri"/>
          <w:b/>
          <w:bCs/>
          <w:sz w:val="22"/>
          <w:szCs w:val="22"/>
        </w:rPr>
        <w:t xml:space="preserve">Federal reference models we used for the staged structure</w:t>
      </w:r>
    </w:p>
    <w:p>
      <w:pPr>
        <w:pStyle w:val="ListParagraph"/>
        <w:numPr>
          <w:ilvl w:val="0"/>
          <w:numId w:val="2"/>
        </w:numPr>
        <w:spacing w:after="70" w:line="268"/>
      </w:pPr>
      <w:r>
        <w:rPr>
          <w:rFonts w:ascii="Calibri" w:cs="Calibri" w:eastAsia="Calibri" w:hAnsi="Calibri"/>
          <w:sz w:val="22"/>
          <w:szCs w:val="22"/>
        </w:rPr>
        <w:t xml:space="preserve">FAR 39.103, modular contracting: https://www.acquisition.gov/far/39.103</w:t>
      </w:r>
    </w:p>
    <w:p>
      <w:pPr>
        <w:pStyle w:val="ListParagraph"/>
        <w:numPr>
          <w:ilvl w:val="0"/>
          <w:numId w:val="2"/>
        </w:numPr>
        <w:spacing w:after="70" w:line="268"/>
      </w:pPr>
      <w:r>
        <w:rPr>
          <w:rFonts w:ascii="Calibri" w:cs="Calibri" w:eastAsia="Calibri" w:hAnsi="Calibri"/>
          <w:sz w:val="22"/>
          <w:szCs w:val="22"/>
        </w:rPr>
        <w:t xml:space="preserve">MITRE, Challenge-Based Acquisition v5: https://www.mitre.org/sites/default/files/2021-11/prs-20-0745-challenge-based-acquisition-version-5.pdf</w:t>
      </w:r>
    </w:p>
    <w:p>
      <w:pPr>
        <w:pStyle w:val="ListParagraph"/>
        <w:numPr>
          <w:ilvl w:val="0"/>
          <w:numId w:val="2"/>
        </w:numPr>
        <w:spacing w:after="70" w:line="268"/>
      </w:pPr>
      <w:r>
        <w:rPr>
          <w:rFonts w:ascii="Calibri" w:cs="Calibri" w:eastAsia="Calibri" w:hAnsi="Calibri"/>
          <w:sz w:val="22"/>
          <w:szCs w:val="22"/>
        </w:rPr>
        <w:t xml:space="preserve">NASA COTS, NASA/SP-2014-617: https://www.nasa.gov/wp-content/uploads/2016/08/sp-2014-617.pdf</w:t>
      </w:r>
    </w:p>
    <w:p>
      <w:pPr>
        <w:pStyle w:val="ListParagraph"/>
        <w:numPr>
          <w:ilvl w:val="0"/>
          <w:numId w:val="2"/>
        </w:numPr>
        <w:spacing w:after="70" w:line="268"/>
      </w:pPr>
      <w:r>
        <w:rPr>
          <w:rFonts w:ascii="Calibri" w:cs="Calibri" w:eastAsia="Calibri" w:hAnsi="Calibri"/>
          <w:sz w:val="22"/>
          <w:szCs w:val="22"/>
        </w:rPr>
        <w:t xml:space="preserve">SBIR: https://www.sbir.gov/about</w:t>
      </w:r>
    </w:p>
    <w:p>
      <w:pPr>
        <w:pStyle w:val="ListParagraph"/>
        <w:numPr>
          <w:ilvl w:val="0"/>
          <w:numId w:val="2"/>
        </w:numPr>
        <w:spacing w:after="70" w:line="268"/>
      </w:pPr>
      <w:r>
        <w:rPr>
          <w:rFonts w:ascii="Calibri" w:cs="Calibri" w:eastAsia="Calibri" w:hAnsi="Calibri"/>
          <w:sz w:val="22"/>
          <w:szCs w:val="22"/>
        </w:rPr>
        <w:t xml:space="preserve">GAO-26-107859, AI acquisitions lessons learned: https://www.gao.gov/products/gao-26-107859</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A7A"/>
        <w:sz w:val="22"/>
        <w:szCs w:val="22"/>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E0" w:sz="4" w:space="4"/>
      </w:pBdr>
      <w:spacing w:after="120"/>
      <w:jc w:val="right"/>
    </w:pPr>
    <w:r>
      <w:rPr>
        <w:rFonts w:ascii="Calibri" w:cs="Calibri" w:eastAsia="Calibri" w:hAnsi="Calibri"/>
        <w:color w:val="7A7A7A"/>
        <w:sz w:val="22"/>
        <w:szCs w:val="22"/>
      </w:rPr>
      <w:t xml:space="preserve">City of Kansas City, Missouri  |  AI Procurement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 Procurement: References and What We Are Building</dc:title>
  <dc:creator>City of Kansas City, Missouri</dc:creator>
  <dc:description>Shared notes on AI procurement references and the KCMO staged challenge model</dc:description>
  <cp:lastModifiedBy>Un-named</cp:lastModifiedBy>
  <cp:revision>1</cp:revision>
  <dcterms:created xsi:type="dcterms:W3CDTF">2026-08-19T20:20:59.148Z</dcterms:created>
  <dcterms:modified xsi:type="dcterms:W3CDTF">2026-08-19T20:20:59.197Z</dcterms:modified>
</cp:coreProperties>
</file>

<file path=docProps/custom.xml><?xml version="1.0" encoding="utf-8"?>
<Properties xmlns="http://schemas.openxmlformats.org/officeDocument/2006/custom-properties" xmlns:vt="http://schemas.openxmlformats.org/officeDocument/2006/docPropsVTypes"/>
</file>