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án{#co_pham_vi} trên địa bàn {pham_vi}{/co_pham_vi}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(Số liệu tính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1100"/>
        <w:gridCol w:w="1300"/>
        <w:gridCol w:w="1300"/>
        <w:gridCol w:w="800"/>
        <w:gridCol w:w="771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Kinh phí đã duyệt (đồng)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chi trả (đồng)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Hoàn thành GPMB (hộ)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Tình trạng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{tinh_trang}{/du_an}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{ho_hoan_thanh}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(Chi tiết kinh phí tạm tính, còn phải chi, chặng thực hiện: Phụ lục Excel kèm theo)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{^vuong_mac}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có vướng mắc cần xử lý ngay theo cảnh báo của phần mềm.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</dc:title>
  <dc:creator>GPMB Sơn La</dc:creator>
  <cp:lastModifiedBy>Un-named</cp:lastModifiedBy>
  <cp:revision>1</cp:revision>
  <dcterms:created xsi:type="dcterms:W3CDTF">2026-09-28T05:31:34.334Z</dcterms:created>
  <dcterms:modified xsi:type="dcterms:W3CDTF">2026-09-28T05:31:34.335Z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