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34E" w:rsidRDefault="00C14E79" w:rsidP="0091534E">
      <w:pPr>
        <w:spacing w:after="0"/>
        <w:jc w:val="right"/>
      </w:pPr>
      <w:bookmarkStart w:id="0" w:name="_GoBack"/>
      <w:bookmarkEnd w:id="0"/>
      <w:proofErr w:type="spellStart"/>
      <w:r>
        <w:t>Chadbourne</w:t>
      </w:r>
      <w:proofErr w:type="spellEnd"/>
      <w:r>
        <w:t xml:space="preserve"> draft 2-2</w:t>
      </w:r>
      <w:r w:rsidR="001B35AE">
        <w:t>5</w:t>
      </w:r>
      <w:r>
        <w:t>-2014</w:t>
      </w:r>
    </w:p>
    <w:p w:rsidR="004769A1" w:rsidRPr="00935925" w:rsidRDefault="004769A1" w:rsidP="0091534E">
      <w:pPr>
        <w:spacing w:after="0"/>
        <w:jc w:val="right"/>
      </w:pPr>
    </w:p>
    <w:p w:rsidR="0091534E" w:rsidRPr="00935925" w:rsidRDefault="0091534E" w:rsidP="0091534E">
      <w:pPr>
        <w:spacing w:after="0"/>
        <w:jc w:val="center"/>
      </w:pPr>
    </w:p>
    <w:p w:rsidR="0091534E" w:rsidRPr="00935925" w:rsidRDefault="0091534E" w:rsidP="0091534E">
      <w:pPr>
        <w:spacing w:after="0"/>
        <w:jc w:val="center"/>
        <w:rPr>
          <w:b/>
        </w:rPr>
      </w:pPr>
    </w:p>
    <w:p w:rsidR="00BD2884" w:rsidRPr="00935925" w:rsidRDefault="00BD2884" w:rsidP="0091534E">
      <w:pPr>
        <w:spacing w:after="0"/>
        <w:jc w:val="center"/>
        <w:rPr>
          <w:b/>
        </w:rPr>
      </w:pPr>
      <w:r w:rsidRPr="00935925">
        <w:rPr>
          <w:b/>
        </w:rPr>
        <w:t xml:space="preserve">Indicative Term </w:t>
      </w:r>
      <w:r w:rsidR="0091534E" w:rsidRPr="00935925">
        <w:rPr>
          <w:b/>
        </w:rPr>
        <w:t>Sheet</w:t>
      </w:r>
    </w:p>
    <w:p w:rsidR="0091534E" w:rsidRPr="00935925" w:rsidRDefault="0091534E" w:rsidP="0091534E">
      <w:pPr>
        <w:spacing w:after="0"/>
        <w:jc w:val="center"/>
        <w:rPr>
          <w:b/>
        </w:rPr>
      </w:pPr>
      <w:r w:rsidRPr="00935925">
        <w:rPr>
          <w:b/>
        </w:rPr>
        <w:t xml:space="preserve">Proposed </w:t>
      </w:r>
      <w:r w:rsidR="00F37A5D" w:rsidRPr="00935925">
        <w:rPr>
          <w:b/>
        </w:rPr>
        <w:t xml:space="preserve">Fixed Price Physical </w:t>
      </w:r>
      <w:r w:rsidR="00155F28" w:rsidRPr="00935925">
        <w:rPr>
          <w:b/>
        </w:rPr>
        <w:t xml:space="preserve">Energy </w:t>
      </w:r>
      <w:r w:rsidR="001D6984" w:rsidRPr="00935925">
        <w:rPr>
          <w:b/>
        </w:rPr>
        <w:t xml:space="preserve">Sale </w:t>
      </w:r>
      <w:r w:rsidRPr="00935925">
        <w:rPr>
          <w:b/>
        </w:rPr>
        <w:t>Transaction for</w:t>
      </w:r>
    </w:p>
    <w:p w:rsidR="00BD2884" w:rsidRPr="00935925" w:rsidRDefault="004769A1" w:rsidP="0091534E">
      <w:pPr>
        <w:spacing w:after="0"/>
        <w:jc w:val="center"/>
        <w:rPr>
          <w:b/>
        </w:rPr>
      </w:pPr>
      <w:r>
        <w:rPr>
          <w:b/>
        </w:rPr>
        <w:t>Mesquite Creek</w:t>
      </w:r>
      <w:r w:rsidR="008A348F" w:rsidRPr="00935925">
        <w:rPr>
          <w:b/>
        </w:rPr>
        <w:t xml:space="preserve"> Wind </w:t>
      </w:r>
      <w:r w:rsidR="00BD2884" w:rsidRPr="00935925">
        <w:rPr>
          <w:b/>
        </w:rPr>
        <w:t xml:space="preserve">Project </w:t>
      </w:r>
    </w:p>
    <w:p w:rsidR="00137651" w:rsidRPr="00935925" w:rsidRDefault="00137651" w:rsidP="0091534E">
      <w:pPr>
        <w:jc w:val="both"/>
        <w:rPr>
          <w:sz w:val="20"/>
          <w:szCs w:val="20"/>
        </w:rPr>
      </w:pPr>
    </w:p>
    <w:p w:rsidR="00BD2884" w:rsidRPr="00935925" w:rsidRDefault="00BD2884" w:rsidP="0091534E">
      <w:pPr>
        <w:jc w:val="both"/>
        <w:rPr>
          <w:sz w:val="20"/>
          <w:szCs w:val="20"/>
        </w:rPr>
      </w:pPr>
      <w:r w:rsidRPr="00935925">
        <w:rPr>
          <w:sz w:val="20"/>
          <w:szCs w:val="20"/>
        </w:rPr>
        <w:t xml:space="preserve">This </w:t>
      </w:r>
      <w:r w:rsidR="0091534E" w:rsidRPr="00935925">
        <w:rPr>
          <w:sz w:val="20"/>
          <w:szCs w:val="20"/>
        </w:rPr>
        <w:t xml:space="preserve">indicative </w:t>
      </w:r>
      <w:r w:rsidRPr="00935925">
        <w:rPr>
          <w:sz w:val="20"/>
          <w:szCs w:val="20"/>
        </w:rPr>
        <w:t>term sheet</w:t>
      </w:r>
      <w:r w:rsidR="0091534E" w:rsidRPr="00935925">
        <w:rPr>
          <w:sz w:val="20"/>
          <w:szCs w:val="20"/>
        </w:rPr>
        <w:t xml:space="preserve"> (this “</w:t>
      </w:r>
      <w:r w:rsidR="0091534E" w:rsidRPr="00935925">
        <w:rPr>
          <w:b/>
          <w:sz w:val="20"/>
          <w:szCs w:val="20"/>
        </w:rPr>
        <w:t>Term Sheet</w:t>
      </w:r>
      <w:r w:rsidR="0091534E" w:rsidRPr="00935925">
        <w:rPr>
          <w:sz w:val="20"/>
          <w:szCs w:val="20"/>
        </w:rPr>
        <w:t xml:space="preserve">”) </w:t>
      </w:r>
      <w:r w:rsidRPr="00935925">
        <w:rPr>
          <w:sz w:val="20"/>
          <w:szCs w:val="20"/>
        </w:rPr>
        <w:t>is issued for discussion purposes only and does not constitute an offer or commitment to provide the commodity transaction described below. For the avoidance of doubt,</w:t>
      </w:r>
      <w:r w:rsidR="0091534E" w:rsidRPr="00935925">
        <w:rPr>
          <w:sz w:val="20"/>
          <w:szCs w:val="20"/>
        </w:rPr>
        <w:t xml:space="preserve"> this Term Sheet is a </w:t>
      </w:r>
      <w:r w:rsidRPr="00935925">
        <w:rPr>
          <w:sz w:val="20"/>
          <w:szCs w:val="20"/>
        </w:rPr>
        <w:t xml:space="preserve">summary of certain requirements and not an exhaustive specification. Any transaction will be governed by final documents in form and substance satisfactory to </w:t>
      </w:r>
      <w:r w:rsidR="00381F2B" w:rsidRPr="00381F2B">
        <w:rPr>
          <w:sz w:val="20"/>
          <w:szCs w:val="20"/>
        </w:rPr>
        <w:t>BP Energy Company</w:t>
      </w:r>
      <w:r w:rsidR="00C860AB">
        <w:rPr>
          <w:sz w:val="20"/>
          <w:szCs w:val="20"/>
        </w:rPr>
        <w:t xml:space="preserve"> </w:t>
      </w:r>
      <w:r w:rsidR="00C860AB" w:rsidRPr="00935925">
        <w:rPr>
          <w:sz w:val="20"/>
          <w:szCs w:val="20"/>
        </w:rPr>
        <w:t xml:space="preserve">and </w:t>
      </w:r>
      <w:r w:rsidR="00C860AB">
        <w:rPr>
          <w:sz w:val="20"/>
          <w:szCs w:val="20"/>
        </w:rPr>
        <w:t>Mesquite Creek Wind</w:t>
      </w:r>
      <w:r w:rsidR="00C860AB" w:rsidRPr="00935925">
        <w:rPr>
          <w:sz w:val="20"/>
          <w:szCs w:val="20"/>
        </w:rPr>
        <w:t xml:space="preserve"> LLC</w:t>
      </w:r>
      <w:r w:rsidRPr="00935925">
        <w:rPr>
          <w:sz w:val="20"/>
          <w:szCs w:val="20"/>
        </w:rPr>
        <w:t>.  The consummation of any transaction is subject to conditions usual for transactions of this nature including, without limitation, due diligence, market conditions, satisfactory documentation, and internal approvals.</w:t>
      </w:r>
      <w:r w:rsidR="0091534E" w:rsidRPr="00935925">
        <w:t xml:space="preserve"> </w:t>
      </w:r>
      <w:r w:rsidR="0091534E" w:rsidRPr="00935925">
        <w:rPr>
          <w:sz w:val="20"/>
          <w:szCs w:val="20"/>
        </w:rPr>
        <w:t>This Term Sheet and its contents are confidentia</w:t>
      </w:r>
      <w:r w:rsidR="003F47A3" w:rsidRPr="00935925">
        <w:rPr>
          <w:sz w:val="20"/>
          <w:szCs w:val="20"/>
        </w:rPr>
        <w:t xml:space="preserve">l and shall not be disclosed </w:t>
      </w:r>
      <w:r w:rsidR="0091534E" w:rsidRPr="00935925">
        <w:rPr>
          <w:sz w:val="20"/>
          <w:szCs w:val="20"/>
        </w:rPr>
        <w:t xml:space="preserve">without the written consent of </w:t>
      </w:r>
      <w:r w:rsidR="00381F2B" w:rsidRPr="00381F2B">
        <w:rPr>
          <w:sz w:val="20"/>
          <w:szCs w:val="20"/>
        </w:rPr>
        <w:t xml:space="preserve">BP Energy Company </w:t>
      </w:r>
      <w:r w:rsidR="003F47A3" w:rsidRPr="00935925">
        <w:rPr>
          <w:sz w:val="20"/>
          <w:szCs w:val="20"/>
        </w:rPr>
        <w:t xml:space="preserve">and </w:t>
      </w:r>
      <w:r w:rsidR="00C14E79">
        <w:rPr>
          <w:sz w:val="20"/>
          <w:szCs w:val="20"/>
        </w:rPr>
        <w:t xml:space="preserve">Mesquite </w:t>
      </w:r>
      <w:r w:rsidR="00A77877">
        <w:rPr>
          <w:sz w:val="20"/>
          <w:szCs w:val="20"/>
        </w:rPr>
        <w:t xml:space="preserve">Creek </w:t>
      </w:r>
      <w:r w:rsidR="00C14E79">
        <w:rPr>
          <w:sz w:val="20"/>
          <w:szCs w:val="20"/>
        </w:rPr>
        <w:t>Wind</w:t>
      </w:r>
      <w:r w:rsidR="00C14E79" w:rsidRPr="00935925">
        <w:rPr>
          <w:sz w:val="20"/>
          <w:szCs w:val="20"/>
        </w:rPr>
        <w:t xml:space="preserve"> </w:t>
      </w:r>
      <w:r w:rsidR="003F47A3" w:rsidRPr="00935925">
        <w:rPr>
          <w:sz w:val="20"/>
          <w:szCs w:val="20"/>
        </w:rPr>
        <w:t>LLC.</w:t>
      </w:r>
    </w:p>
    <w:tbl>
      <w:tblPr>
        <w:tblW w:w="959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91" w:type="dxa"/>
          <w:right w:w="91" w:type="dxa"/>
        </w:tblCellMar>
        <w:tblLook w:val="0000"/>
      </w:tblPr>
      <w:tblGrid>
        <w:gridCol w:w="3061"/>
        <w:gridCol w:w="6503"/>
        <w:gridCol w:w="27"/>
      </w:tblGrid>
      <w:tr w:rsidR="00FF140C" w:rsidRPr="00935925" w:rsidTr="00C1457B">
        <w:trPr>
          <w:gridAfter w:val="1"/>
          <w:wAfter w:w="27" w:type="dxa"/>
          <w:trHeight w:val="557"/>
        </w:trPr>
        <w:tc>
          <w:tcPr>
            <w:tcW w:w="3061" w:type="dxa"/>
            <w:tcBorders>
              <w:top w:val="single" w:sz="6" w:space="0" w:color="auto"/>
              <w:left w:val="single" w:sz="6" w:space="0" w:color="auto"/>
              <w:bottom w:val="single" w:sz="6" w:space="0" w:color="auto"/>
              <w:right w:val="single" w:sz="6" w:space="0" w:color="auto"/>
            </w:tcBorders>
          </w:tcPr>
          <w:p w:rsidR="00FF140C" w:rsidRPr="00935925" w:rsidRDefault="00FF140C" w:rsidP="00404757">
            <w:pPr>
              <w:jc w:val="both"/>
              <w:rPr>
                <w:b/>
                <w:sz w:val="22"/>
              </w:rPr>
            </w:pPr>
          </w:p>
        </w:tc>
        <w:tc>
          <w:tcPr>
            <w:tcW w:w="6503" w:type="dxa"/>
            <w:tcBorders>
              <w:top w:val="single" w:sz="6" w:space="0" w:color="auto"/>
              <w:left w:val="single" w:sz="6" w:space="0" w:color="auto"/>
              <w:bottom w:val="single" w:sz="6" w:space="0" w:color="auto"/>
              <w:right w:val="single" w:sz="6" w:space="0" w:color="auto"/>
            </w:tcBorders>
          </w:tcPr>
          <w:p w:rsidR="00FF140C" w:rsidRPr="00935925" w:rsidRDefault="00FF140C" w:rsidP="00100989">
            <w:pPr>
              <w:jc w:val="both"/>
              <w:rPr>
                <w:sz w:val="22"/>
              </w:rPr>
            </w:pPr>
          </w:p>
          <w:p w:rsidR="00FF140C" w:rsidRPr="00935925" w:rsidRDefault="00FF140C" w:rsidP="00100989">
            <w:pPr>
              <w:jc w:val="both"/>
              <w:rPr>
                <w:b/>
                <w:sz w:val="22"/>
              </w:rPr>
            </w:pPr>
            <w:r w:rsidRPr="00935925">
              <w:rPr>
                <w:b/>
                <w:sz w:val="22"/>
              </w:rPr>
              <w:t>PARTIES AND PROJECT</w:t>
            </w:r>
          </w:p>
          <w:p w:rsidR="00100989" w:rsidRPr="00935925" w:rsidRDefault="00100989" w:rsidP="00100989">
            <w:pPr>
              <w:jc w:val="both"/>
              <w:rPr>
                <w:b/>
                <w:sz w:val="22"/>
              </w:rPr>
            </w:pPr>
          </w:p>
        </w:tc>
      </w:tr>
      <w:tr w:rsidR="0091534E" w:rsidRPr="00935925" w:rsidTr="00C145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7" w:type="dxa"/>
          <w:trHeight w:val="557"/>
        </w:trPr>
        <w:tc>
          <w:tcPr>
            <w:tcW w:w="3061" w:type="dxa"/>
            <w:tcBorders>
              <w:top w:val="single" w:sz="6" w:space="0" w:color="auto"/>
              <w:left w:val="single" w:sz="6" w:space="0" w:color="auto"/>
              <w:bottom w:val="single" w:sz="6" w:space="0" w:color="auto"/>
              <w:right w:val="single" w:sz="6" w:space="0" w:color="auto"/>
            </w:tcBorders>
          </w:tcPr>
          <w:p w:rsidR="0091534E" w:rsidRPr="00935925" w:rsidRDefault="00F06AB7" w:rsidP="001B35AE">
            <w:pPr>
              <w:jc w:val="both"/>
              <w:rPr>
                <w:sz w:val="22"/>
              </w:rPr>
            </w:pPr>
            <w:r w:rsidRPr="00935925">
              <w:rPr>
                <w:b/>
                <w:sz w:val="22"/>
              </w:rPr>
              <w:t>Buyer</w:t>
            </w:r>
          </w:p>
        </w:tc>
        <w:tc>
          <w:tcPr>
            <w:tcW w:w="6503" w:type="dxa"/>
            <w:tcBorders>
              <w:top w:val="single" w:sz="6" w:space="0" w:color="auto"/>
              <w:left w:val="single" w:sz="6" w:space="0" w:color="auto"/>
              <w:bottom w:val="single" w:sz="6" w:space="0" w:color="auto"/>
              <w:right w:val="single" w:sz="6" w:space="0" w:color="auto"/>
            </w:tcBorders>
          </w:tcPr>
          <w:p w:rsidR="0091534E" w:rsidRPr="00935925" w:rsidRDefault="00381F2B" w:rsidP="001B35AE">
            <w:pPr>
              <w:jc w:val="both"/>
              <w:rPr>
                <w:sz w:val="22"/>
              </w:rPr>
            </w:pPr>
            <w:r>
              <w:rPr>
                <w:sz w:val="20"/>
                <w:szCs w:val="20"/>
              </w:rPr>
              <w:t>BP Energy Company</w:t>
            </w:r>
          </w:p>
        </w:tc>
      </w:tr>
      <w:tr w:rsidR="0091534E" w:rsidRPr="00935925" w:rsidTr="00C145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7" w:type="dxa"/>
        </w:trPr>
        <w:tc>
          <w:tcPr>
            <w:tcW w:w="3061" w:type="dxa"/>
            <w:tcBorders>
              <w:top w:val="single" w:sz="6" w:space="0" w:color="auto"/>
              <w:left w:val="single" w:sz="6" w:space="0" w:color="auto"/>
              <w:bottom w:val="single" w:sz="6" w:space="0" w:color="auto"/>
              <w:right w:val="single" w:sz="6" w:space="0" w:color="auto"/>
            </w:tcBorders>
          </w:tcPr>
          <w:p w:rsidR="0091534E" w:rsidRPr="00935925" w:rsidRDefault="00F06AB7" w:rsidP="00404757">
            <w:pPr>
              <w:jc w:val="both"/>
              <w:rPr>
                <w:sz w:val="22"/>
              </w:rPr>
            </w:pPr>
            <w:r w:rsidRPr="00935925">
              <w:rPr>
                <w:b/>
                <w:sz w:val="22"/>
              </w:rPr>
              <w:t>Seller or Project Company</w:t>
            </w:r>
          </w:p>
        </w:tc>
        <w:tc>
          <w:tcPr>
            <w:tcW w:w="6503" w:type="dxa"/>
            <w:tcBorders>
              <w:top w:val="single" w:sz="6" w:space="0" w:color="auto"/>
              <w:left w:val="single" w:sz="6" w:space="0" w:color="auto"/>
              <w:bottom w:val="single" w:sz="6" w:space="0" w:color="auto"/>
              <w:right w:val="single" w:sz="6" w:space="0" w:color="auto"/>
            </w:tcBorders>
          </w:tcPr>
          <w:p w:rsidR="0091534E" w:rsidRPr="00935925" w:rsidRDefault="00A77877" w:rsidP="008A348F">
            <w:pPr>
              <w:tabs>
                <w:tab w:val="left" w:pos="3600"/>
              </w:tabs>
              <w:jc w:val="both"/>
              <w:rPr>
                <w:sz w:val="22"/>
              </w:rPr>
            </w:pPr>
            <w:r>
              <w:rPr>
                <w:sz w:val="22"/>
              </w:rPr>
              <w:t>Mesquite Creek Wind</w:t>
            </w:r>
            <w:r w:rsidR="00133606" w:rsidRPr="00935925">
              <w:rPr>
                <w:sz w:val="22"/>
              </w:rPr>
              <w:t xml:space="preserve"> LLC</w:t>
            </w:r>
          </w:p>
        </w:tc>
      </w:tr>
      <w:tr w:rsidR="00E11194" w:rsidRPr="00935925" w:rsidTr="00C145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7" w:type="dxa"/>
        </w:trPr>
        <w:tc>
          <w:tcPr>
            <w:tcW w:w="3061" w:type="dxa"/>
            <w:tcBorders>
              <w:top w:val="single" w:sz="6" w:space="0" w:color="auto"/>
              <w:left w:val="single" w:sz="6" w:space="0" w:color="auto"/>
              <w:right w:val="single" w:sz="6" w:space="0" w:color="auto"/>
            </w:tcBorders>
          </w:tcPr>
          <w:p w:rsidR="00E11194" w:rsidRPr="00935925" w:rsidRDefault="00E11194" w:rsidP="00E13992">
            <w:pPr>
              <w:tabs>
                <w:tab w:val="left" w:pos="3600"/>
              </w:tabs>
              <w:rPr>
                <w:b/>
                <w:sz w:val="22"/>
              </w:rPr>
            </w:pPr>
            <w:r w:rsidRPr="00935925">
              <w:rPr>
                <w:b/>
                <w:sz w:val="22"/>
              </w:rPr>
              <w:t>Project</w:t>
            </w:r>
          </w:p>
        </w:tc>
        <w:tc>
          <w:tcPr>
            <w:tcW w:w="6503" w:type="dxa"/>
            <w:tcBorders>
              <w:top w:val="single" w:sz="6" w:space="0" w:color="auto"/>
              <w:left w:val="single" w:sz="6" w:space="0" w:color="auto"/>
              <w:right w:val="single" w:sz="6" w:space="0" w:color="auto"/>
            </w:tcBorders>
          </w:tcPr>
          <w:p w:rsidR="00E11194" w:rsidRPr="00935925" w:rsidRDefault="004B4323" w:rsidP="00381F2B">
            <w:pPr>
              <w:jc w:val="both"/>
              <w:rPr>
                <w:sz w:val="22"/>
              </w:rPr>
            </w:pPr>
            <w:r>
              <w:rPr>
                <w:sz w:val="22"/>
              </w:rPr>
              <w:t>Wind project</w:t>
            </w:r>
            <w:r w:rsidR="00E11194" w:rsidRPr="00935925">
              <w:rPr>
                <w:sz w:val="22"/>
              </w:rPr>
              <w:t xml:space="preserve"> to be located in </w:t>
            </w:r>
            <w:r w:rsidR="00C14E79">
              <w:rPr>
                <w:sz w:val="22"/>
              </w:rPr>
              <w:t>Borden and Dawson C</w:t>
            </w:r>
            <w:r w:rsidR="00C14E79" w:rsidRPr="00C14E79">
              <w:rPr>
                <w:sz w:val="22"/>
              </w:rPr>
              <w:t>ounties, Texas</w:t>
            </w:r>
            <w:r>
              <w:rPr>
                <w:sz w:val="22"/>
              </w:rPr>
              <w:t xml:space="preserve">, </w:t>
            </w:r>
            <w:r w:rsidRPr="00935925">
              <w:rPr>
                <w:sz w:val="22"/>
              </w:rPr>
              <w:t>consist</w:t>
            </w:r>
            <w:r>
              <w:rPr>
                <w:sz w:val="22"/>
              </w:rPr>
              <w:t>ing</w:t>
            </w:r>
            <w:r w:rsidRPr="00935925">
              <w:rPr>
                <w:sz w:val="22"/>
              </w:rPr>
              <w:t xml:space="preserve"> of </w:t>
            </w:r>
            <w:r>
              <w:rPr>
                <w:sz w:val="22"/>
              </w:rPr>
              <w:t>up to</w:t>
            </w:r>
            <w:r w:rsidRPr="00935925">
              <w:rPr>
                <w:sz w:val="22"/>
              </w:rPr>
              <w:t xml:space="preserve"> 118 GE-1.7</w:t>
            </w:r>
            <w:r w:rsidR="00381F2B">
              <w:rPr>
                <w:sz w:val="22"/>
              </w:rPr>
              <w:t>-</w:t>
            </w:r>
            <w:r w:rsidRPr="00935925">
              <w:rPr>
                <w:sz w:val="22"/>
              </w:rPr>
              <w:t xml:space="preserve">100, 80-m </w:t>
            </w:r>
            <w:r>
              <w:rPr>
                <w:sz w:val="22"/>
              </w:rPr>
              <w:t>h</w:t>
            </w:r>
            <w:r w:rsidRPr="00935925">
              <w:rPr>
                <w:sz w:val="22"/>
              </w:rPr>
              <w:t xml:space="preserve">ub </w:t>
            </w:r>
            <w:r>
              <w:rPr>
                <w:sz w:val="22"/>
              </w:rPr>
              <w:t>h</w:t>
            </w:r>
            <w:r w:rsidRPr="00935925">
              <w:rPr>
                <w:sz w:val="22"/>
              </w:rPr>
              <w:t xml:space="preserve">eight wind turbines, </w:t>
            </w:r>
            <w:r w:rsidR="00A77877">
              <w:rPr>
                <w:sz w:val="22"/>
              </w:rPr>
              <w:t>with</w:t>
            </w:r>
            <w:r w:rsidRPr="00935925">
              <w:rPr>
                <w:sz w:val="22"/>
              </w:rPr>
              <w:t xml:space="preserve"> a total nameplate capacity of </w:t>
            </w:r>
            <w:r w:rsidRPr="00C14E79">
              <w:rPr>
                <w:sz w:val="22"/>
              </w:rPr>
              <w:t xml:space="preserve">approximately </w:t>
            </w:r>
            <w:r w:rsidRPr="00935925">
              <w:rPr>
                <w:sz w:val="22"/>
              </w:rPr>
              <w:t>2</w:t>
            </w:r>
            <w:r>
              <w:rPr>
                <w:sz w:val="22"/>
              </w:rPr>
              <w:t>00</w:t>
            </w:r>
            <w:r w:rsidR="00381F2B">
              <w:rPr>
                <w:sz w:val="22"/>
              </w:rPr>
              <w:t>.6</w:t>
            </w:r>
            <w:r w:rsidRPr="00935925">
              <w:rPr>
                <w:sz w:val="22"/>
              </w:rPr>
              <w:t xml:space="preserve"> megawatts</w:t>
            </w:r>
            <w:r w:rsidR="00E11194" w:rsidRPr="00935925">
              <w:rPr>
                <w:sz w:val="22"/>
              </w:rPr>
              <w:t xml:space="preserve">. </w:t>
            </w:r>
            <w:r w:rsidR="00C14E79">
              <w:rPr>
                <w:sz w:val="22"/>
              </w:rPr>
              <w:t>T</w:t>
            </w:r>
            <w:r w:rsidR="00E11194" w:rsidRPr="00935925">
              <w:rPr>
                <w:sz w:val="22"/>
              </w:rPr>
              <w:t>he date of commercial operations (“</w:t>
            </w:r>
            <w:r w:rsidR="00E11194" w:rsidRPr="00935925">
              <w:rPr>
                <w:b/>
                <w:sz w:val="22"/>
              </w:rPr>
              <w:t>COD</w:t>
            </w:r>
            <w:r w:rsidR="00E11194" w:rsidRPr="00935925">
              <w:rPr>
                <w:sz w:val="22"/>
              </w:rPr>
              <w:t xml:space="preserve">”) is expected to occur by </w:t>
            </w:r>
            <w:r w:rsidR="00133606" w:rsidRPr="00935925">
              <w:rPr>
                <w:sz w:val="22"/>
              </w:rPr>
              <w:t>July 1, 2015</w:t>
            </w:r>
            <w:r w:rsidR="00E11194" w:rsidRPr="00935925">
              <w:rPr>
                <w:sz w:val="22"/>
              </w:rPr>
              <w:t xml:space="preserve">.  </w:t>
            </w:r>
          </w:p>
        </w:tc>
      </w:tr>
      <w:tr w:rsidR="00FF140C" w:rsidRPr="00935925" w:rsidTr="001760B8">
        <w:trPr>
          <w:gridAfter w:val="1"/>
          <w:wAfter w:w="27" w:type="dxa"/>
        </w:trPr>
        <w:tc>
          <w:tcPr>
            <w:tcW w:w="3061" w:type="dxa"/>
            <w:tcBorders>
              <w:top w:val="single" w:sz="6" w:space="0" w:color="auto"/>
              <w:left w:val="single" w:sz="6" w:space="0" w:color="auto"/>
              <w:bottom w:val="single" w:sz="6" w:space="0" w:color="auto"/>
            </w:tcBorders>
          </w:tcPr>
          <w:p w:rsidR="00FF140C" w:rsidRPr="00935925" w:rsidRDefault="00E11194" w:rsidP="00E11194">
            <w:pPr>
              <w:tabs>
                <w:tab w:val="left" w:pos="3600"/>
              </w:tabs>
              <w:rPr>
                <w:b/>
                <w:sz w:val="22"/>
              </w:rPr>
            </w:pPr>
            <w:r w:rsidRPr="00935925">
              <w:rPr>
                <w:b/>
                <w:sz w:val="22"/>
              </w:rPr>
              <w:t>Transaction</w:t>
            </w:r>
          </w:p>
        </w:tc>
        <w:tc>
          <w:tcPr>
            <w:tcW w:w="6503" w:type="dxa"/>
            <w:tcBorders>
              <w:top w:val="single" w:sz="6" w:space="0" w:color="auto"/>
              <w:bottom w:val="single" w:sz="6" w:space="0" w:color="auto"/>
              <w:right w:val="single" w:sz="6" w:space="0" w:color="auto"/>
            </w:tcBorders>
          </w:tcPr>
          <w:p w:rsidR="00FF140C" w:rsidRPr="00935925" w:rsidRDefault="00E11194" w:rsidP="00466992">
            <w:pPr>
              <w:jc w:val="both"/>
              <w:rPr>
                <w:sz w:val="22"/>
              </w:rPr>
            </w:pPr>
            <w:r w:rsidRPr="00935925">
              <w:rPr>
                <w:sz w:val="22"/>
              </w:rPr>
              <w:t>Sale of fixed price</w:t>
            </w:r>
            <w:r w:rsidR="00466992" w:rsidRPr="00935925">
              <w:rPr>
                <w:sz w:val="22"/>
              </w:rPr>
              <w:t xml:space="preserve"> </w:t>
            </w:r>
            <w:r w:rsidR="00466992" w:rsidRPr="004B4323">
              <w:rPr>
                <w:sz w:val="22"/>
              </w:rPr>
              <w:t>physical</w:t>
            </w:r>
            <w:r w:rsidR="00466992" w:rsidRPr="00935925">
              <w:rPr>
                <w:sz w:val="22"/>
              </w:rPr>
              <w:t xml:space="preserve"> </w:t>
            </w:r>
            <w:r w:rsidRPr="00935925">
              <w:rPr>
                <w:sz w:val="22"/>
              </w:rPr>
              <w:t>electric energy on the terms and conditions herein</w:t>
            </w:r>
          </w:p>
        </w:tc>
      </w:tr>
      <w:tr w:rsidR="00FF140C" w:rsidRPr="00935925" w:rsidTr="001760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7" w:type="dxa"/>
        </w:trPr>
        <w:tc>
          <w:tcPr>
            <w:tcW w:w="3061" w:type="dxa"/>
            <w:tcBorders>
              <w:top w:val="single" w:sz="6" w:space="0" w:color="auto"/>
              <w:left w:val="single" w:sz="6" w:space="0" w:color="auto"/>
              <w:bottom w:val="single" w:sz="6" w:space="0" w:color="auto"/>
              <w:right w:val="single" w:sz="6" w:space="0" w:color="auto"/>
            </w:tcBorders>
          </w:tcPr>
          <w:p w:rsidR="00FF140C" w:rsidRPr="00935925" w:rsidRDefault="00FF140C" w:rsidP="00404757">
            <w:pPr>
              <w:tabs>
                <w:tab w:val="left" w:pos="3600"/>
              </w:tabs>
              <w:rPr>
                <w:b/>
                <w:sz w:val="22"/>
              </w:rPr>
            </w:pPr>
          </w:p>
        </w:tc>
        <w:tc>
          <w:tcPr>
            <w:tcW w:w="6503" w:type="dxa"/>
            <w:tcBorders>
              <w:top w:val="single" w:sz="6" w:space="0" w:color="auto"/>
              <w:left w:val="single" w:sz="6" w:space="0" w:color="auto"/>
              <w:bottom w:val="single" w:sz="6" w:space="0" w:color="auto"/>
              <w:right w:val="single" w:sz="6" w:space="0" w:color="auto"/>
            </w:tcBorders>
          </w:tcPr>
          <w:p w:rsidR="00FF140C" w:rsidRPr="00935925" w:rsidRDefault="00FF140C" w:rsidP="00100989">
            <w:pPr>
              <w:jc w:val="both"/>
              <w:rPr>
                <w:sz w:val="22"/>
              </w:rPr>
            </w:pPr>
          </w:p>
          <w:p w:rsidR="00FF140C" w:rsidRPr="00935925" w:rsidRDefault="00FF140C" w:rsidP="00100989">
            <w:pPr>
              <w:jc w:val="both"/>
              <w:rPr>
                <w:b/>
                <w:sz w:val="22"/>
              </w:rPr>
            </w:pPr>
            <w:r w:rsidRPr="00935925">
              <w:rPr>
                <w:b/>
                <w:sz w:val="22"/>
              </w:rPr>
              <w:t>PRODUCT AND TERMS</w:t>
            </w:r>
          </w:p>
          <w:p w:rsidR="00100989" w:rsidRPr="00935925" w:rsidRDefault="00100989" w:rsidP="001760B8">
            <w:pPr>
              <w:jc w:val="both"/>
              <w:rPr>
                <w:b/>
                <w:sz w:val="22"/>
              </w:rPr>
            </w:pPr>
          </w:p>
        </w:tc>
      </w:tr>
      <w:tr w:rsidR="0091534E" w:rsidRPr="00935925" w:rsidTr="001760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7" w:type="dxa"/>
        </w:trPr>
        <w:tc>
          <w:tcPr>
            <w:tcW w:w="3061" w:type="dxa"/>
            <w:tcBorders>
              <w:top w:val="single" w:sz="6" w:space="0" w:color="auto"/>
              <w:left w:val="single" w:sz="6" w:space="0" w:color="auto"/>
              <w:bottom w:val="single" w:sz="6" w:space="0" w:color="auto"/>
              <w:right w:val="single" w:sz="6" w:space="0" w:color="auto"/>
            </w:tcBorders>
          </w:tcPr>
          <w:p w:rsidR="0091534E" w:rsidRPr="00935925" w:rsidRDefault="0091534E" w:rsidP="00404757">
            <w:pPr>
              <w:spacing w:after="120"/>
              <w:rPr>
                <w:b/>
                <w:sz w:val="22"/>
              </w:rPr>
            </w:pPr>
            <w:r w:rsidRPr="00935925">
              <w:rPr>
                <w:b/>
                <w:sz w:val="22"/>
              </w:rPr>
              <w:t>Trade Date</w:t>
            </w:r>
          </w:p>
        </w:tc>
        <w:tc>
          <w:tcPr>
            <w:tcW w:w="6503" w:type="dxa"/>
            <w:tcBorders>
              <w:top w:val="single" w:sz="6" w:space="0" w:color="auto"/>
              <w:left w:val="single" w:sz="6" w:space="0" w:color="auto"/>
              <w:bottom w:val="single" w:sz="6" w:space="0" w:color="auto"/>
              <w:right w:val="single" w:sz="6" w:space="0" w:color="auto"/>
            </w:tcBorders>
          </w:tcPr>
          <w:p w:rsidR="0091534E" w:rsidRPr="00935925" w:rsidRDefault="00B627CB" w:rsidP="00C14E79">
            <w:pPr>
              <w:spacing w:after="120"/>
              <w:jc w:val="both"/>
              <w:rPr>
                <w:sz w:val="22"/>
              </w:rPr>
            </w:pPr>
            <w:r>
              <w:rPr>
                <w:sz w:val="22"/>
              </w:rPr>
              <w:t xml:space="preserve">March </w:t>
            </w:r>
            <w:r w:rsidR="00F06AB7" w:rsidRPr="00935925">
              <w:rPr>
                <w:sz w:val="22"/>
              </w:rPr>
              <w:t>[</w:t>
            </w:r>
            <w:r w:rsidR="00C14E79">
              <w:rPr>
                <w:i/>
                <w:sz w:val="22"/>
              </w:rPr>
              <w:t>___</w:t>
            </w:r>
            <w:r w:rsidR="00F06AB7" w:rsidRPr="00935925">
              <w:rPr>
                <w:sz w:val="22"/>
              </w:rPr>
              <w:t>]</w:t>
            </w:r>
            <w:r>
              <w:rPr>
                <w:sz w:val="22"/>
              </w:rPr>
              <w:t>, 2014</w:t>
            </w:r>
          </w:p>
        </w:tc>
      </w:tr>
      <w:tr w:rsidR="00B70338" w:rsidRPr="00935925" w:rsidTr="00E139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7" w:type="dxa"/>
        </w:trPr>
        <w:tc>
          <w:tcPr>
            <w:tcW w:w="3061" w:type="dxa"/>
            <w:tcBorders>
              <w:top w:val="single" w:sz="6" w:space="0" w:color="auto"/>
              <w:left w:val="single" w:sz="6" w:space="0" w:color="auto"/>
              <w:bottom w:val="single" w:sz="6" w:space="0" w:color="auto"/>
              <w:right w:val="single" w:sz="6" w:space="0" w:color="auto"/>
            </w:tcBorders>
          </w:tcPr>
          <w:p w:rsidR="00B70338" w:rsidRPr="00935925" w:rsidRDefault="00B70338" w:rsidP="00B70338">
            <w:pPr>
              <w:spacing w:after="120"/>
              <w:rPr>
                <w:b/>
                <w:sz w:val="22"/>
              </w:rPr>
            </w:pPr>
            <w:r w:rsidRPr="00935925">
              <w:rPr>
                <w:b/>
                <w:sz w:val="22"/>
              </w:rPr>
              <w:t>Commodity</w:t>
            </w:r>
          </w:p>
        </w:tc>
        <w:tc>
          <w:tcPr>
            <w:tcW w:w="6503" w:type="dxa"/>
            <w:tcBorders>
              <w:top w:val="single" w:sz="6" w:space="0" w:color="auto"/>
              <w:left w:val="single" w:sz="6" w:space="0" w:color="auto"/>
              <w:bottom w:val="single" w:sz="6" w:space="0" w:color="auto"/>
              <w:right w:val="single" w:sz="6" w:space="0" w:color="auto"/>
            </w:tcBorders>
          </w:tcPr>
          <w:p w:rsidR="00B70338" w:rsidRPr="00935925" w:rsidRDefault="00B70338" w:rsidP="00B70338">
            <w:pPr>
              <w:spacing w:after="120"/>
              <w:jc w:val="both"/>
              <w:rPr>
                <w:sz w:val="22"/>
              </w:rPr>
            </w:pPr>
            <w:r w:rsidRPr="00935925">
              <w:rPr>
                <w:sz w:val="22"/>
              </w:rPr>
              <w:t xml:space="preserve">Electric </w:t>
            </w:r>
            <w:r w:rsidR="00C14E79">
              <w:rPr>
                <w:sz w:val="22"/>
              </w:rPr>
              <w:t>e</w:t>
            </w:r>
            <w:r w:rsidRPr="00935925">
              <w:rPr>
                <w:sz w:val="22"/>
              </w:rPr>
              <w:t>nergy</w:t>
            </w:r>
          </w:p>
          <w:p w:rsidR="00B70338" w:rsidRPr="00935925" w:rsidRDefault="00B70338" w:rsidP="00E13992">
            <w:pPr>
              <w:jc w:val="both"/>
              <w:rPr>
                <w:sz w:val="22"/>
              </w:rPr>
            </w:pPr>
          </w:p>
        </w:tc>
      </w:tr>
      <w:tr w:rsidR="00E11194" w:rsidRPr="00935925" w:rsidTr="001760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7" w:type="dxa"/>
        </w:trPr>
        <w:tc>
          <w:tcPr>
            <w:tcW w:w="3061" w:type="dxa"/>
            <w:tcBorders>
              <w:top w:val="single" w:sz="6" w:space="0" w:color="auto"/>
              <w:left w:val="single" w:sz="6" w:space="0" w:color="auto"/>
              <w:bottom w:val="single" w:sz="6" w:space="0" w:color="auto"/>
              <w:right w:val="single" w:sz="6" w:space="0" w:color="auto"/>
            </w:tcBorders>
          </w:tcPr>
          <w:p w:rsidR="00E11194" w:rsidRPr="00935925" w:rsidRDefault="00E11194" w:rsidP="00E13992">
            <w:pPr>
              <w:spacing w:after="120"/>
              <w:rPr>
                <w:b/>
                <w:sz w:val="22"/>
              </w:rPr>
            </w:pPr>
            <w:r w:rsidRPr="00935925">
              <w:rPr>
                <w:b/>
                <w:sz w:val="22"/>
              </w:rPr>
              <w:lastRenderedPageBreak/>
              <w:t>Quantity</w:t>
            </w:r>
          </w:p>
        </w:tc>
        <w:tc>
          <w:tcPr>
            <w:tcW w:w="6503" w:type="dxa"/>
            <w:tcBorders>
              <w:top w:val="single" w:sz="6" w:space="0" w:color="auto"/>
              <w:left w:val="single" w:sz="6" w:space="0" w:color="auto"/>
              <w:bottom w:val="single" w:sz="6" w:space="0" w:color="auto"/>
              <w:right w:val="single" w:sz="6" w:space="0" w:color="auto"/>
            </w:tcBorders>
          </w:tcPr>
          <w:p w:rsidR="00D927D7" w:rsidRDefault="001B35AE" w:rsidP="009D0FCB">
            <w:pPr>
              <w:spacing w:after="120"/>
              <w:jc w:val="both"/>
              <w:rPr>
                <w:sz w:val="22"/>
              </w:rPr>
            </w:pPr>
            <w:r>
              <w:rPr>
                <w:sz w:val="22"/>
              </w:rPr>
              <w:t>[</w:t>
            </w:r>
            <w:r w:rsidR="009D0FCB">
              <w:rPr>
                <w:sz w:val="22"/>
              </w:rPr>
              <w:t>7x24 shape i</w:t>
            </w:r>
            <w:r w:rsidR="00466992" w:rsidRPr="00935925">
              <w:rPr>
                <w:sz w:val="22"/>
              </w:rPr>
              <w:t>n accordance with Appendix A</w:t>
            </w:r>
            <w:r w:rsidR="00AB76FB">
              <w:rPr>
                <w:sz w:val="22"/>
              </w:rPr>
              <w:t xml:space="preserve"> /</w:t>
            </w:r>
            <w:r w:rsidR="00D927D7">
              <w:rPr>
                <w:sz w:val="22"/>
              </w:rPr>
              <w:t xml:space="preserve"> </w:t>
            </w:r>
          </w:p>
          <w:p w:rsidR="009D0FCB" w:rsidRPr="00935925" w:rsidRDefault="009D0FCB" w:rsidP="001B35AE">
            <w:pPr>
              <w:spacing w:after="120"/>
              <w:jc w:val="both"/>
              <w:rPr>
                <w:sz w:val="22"/>
              </w:rPr>
            </w:pPr>
            <w:r>
              <w:rPr>
                <w:sz w:val="22"/>
              </w:rPr>
              <w:t>Blocks listed by month in accordance with Appendix A</w:t>
            </w:r>
            <w:r w:rsidR="00AB76FB">
              <w:rPr>
                <w:sz w:val="22"/>
              </w:rPr>
              <w:t>]</w:t>
            </w:r>
          </w:p>
        </w:tc>
      </w:tr>
      <w:tr w:rsidR="00B70338" w:rsidRPr="00935925" w:rsidTr="00E139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7" w:type="dxa"/>
        </w:trPr>
        <w:tc>
          <w:tcPr>
            <w:tcW w:w="3061" w:type="dxa"/>
            <w:tcBorders>
              <w:top w:val="single" w:sz="6" w:space="0" w:color="auto"/>
              <w:left w:val="single" w:sz="6" w:space="0" w:color="auto"/>
              <w:bottom w:val="single" w:sz="6" w:space="0" w:color="auto"/>
              <w:right w:val="single" w:sz="6" w:space="0" w:color="auto"/>
            </w:tcBorders>
          </w:tcPr>
          <w:p w:rsidR="00B70338" w:rsidRPr="00935925" w:rsidRDefault="00B70338" w:rsidP="00B70338">
            <w:pPr>
              <w:spacing w:after="120"/>
              <w:rPr>
                <w:b/>
                <w:sz w:val="22"/>
              </w:rPr>
            </w:pPr>
            <w:r w:rsidRPr="00935925">
              <w:rPr>
                <w:b/>
                <w:sz w:val="22"/>
              </w:rPr>
              <w:t>Price</w:t>
            </w:r>
          </w:p>
        </w:tc>
        <w:tc>
          <w:tcPr>
            <w:tcW w:w="6503" w:type="dxa"/>
            <w:tcBorders>
              <w:top w:val="single" w:sz="6" w:space="0" w:color="auto"/>
              <w:left w:val="single" w:sz="6" w:space="0" w:color="auto"/>
              <w:bottom w:val="single" w:sz="6" w:space="0" w:color="auto"/>
              <w:right w:val="single" w:sz="6" w:space="0" w:color="auto"/>
            </w:tcBorders>
          </w:tcPr>
          <w:p w:rsidR="00B70338" w:rsidRPr="00935925" w:rsidRDefault="00B70338" w:rsidP="00423822">
            <w:pPr>
              <w:jc w:val="both"/>
              <w:rPr>
                <w:sz w:val="22"/>
              </w:rPr>
            </w:pPr>
            <w:r w:rsidRPr="00935925">
              <w:rPr>
                <w:sz w:val="22"/>
              </w:rPr>
              <w:t>$[</w:t>
            </w:r>
            <w:r w:rsidR="00423822" w:rsidRPr="00935925">
              <w:rPr>
                <w:sz w:val="22"/>
              </w:rPr>
              <w:t>_____</w:t>
            </w:r>
            <w:r w:rsidRPr="00935925">
              <w:rPr>
                <w:sz w:val="22"/>
              </w:rPr>
              <w:t>]/MWh</w:t>
            </w:r>
          </w:p>
        </w:tc>
      </w:tr>
      <w:tr w:rsidR="0091534E" w:rsidRPr="00935925" w:rsidTr="001760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27" w:type="dxa"/>
        </w:trPr>
        <w:tc>
          <w:tcPr>
            <w:tcW w:w="3061" w:type="dxa"/>
            <w:tcBorders>
              <w:top w:val="single" w:sz="6" w:space="0" w:color="auto"/>
              <w:left w:val="single" w:sz="6" w:space="0" w:color="auto"/>
              <w:bottom w:val="single" w:sz="6" w:space="0" w:color="auto"/>
              <w:right w:val="single" w:sz="6" w:space="0" w:color="auto"/>
            </w:tcBorders>
          </w:tcPr>
          <w:p w:rsidR="0091534E" w:rsidRPr="00935925" w:rsidRDefault="00E11194" w:rsidP="001D6984">
            <w:pPr>
              <w:spacing w:after="120"/>
              <w:rPr>
                <w:b/>
                <w:sz w:val="22"/>
              </w:rPr>
            </w:pPr>
            <w:r w:rsidRPr="00935925">
              <w:rPr>
                <w:b/>
                <w:sz w:val="22"/>
              </w:rPr>
              <w:t>Delivery Point</w:t>
            </w:r>
          </w:p>
        </w:tc>
        <w:tc>
          <w:tcPr>
            <w:tcW w:w="6503" w:type="dxa"/>
            <w:tcBorders>
              <w:top w:val="single" w:sz="6" w:space="0" w:color="auto"/>
              <w:left w:val="single" w:sz="6" w:space="0" w:color="auto"/>
              <w:bottom w:val="single" w:sz="6" w:space="0" w:color="auto"/>
              <w:right w:val="single" w:sz="6" w:space="0" w:color="auto"/>
            </w:tcBorders>
          </w:tcPr>
          <w:p w:rsidR="009D0FCB" w:rsidRPr="00935925" w:rsidRDefault="00AB76FB" w:rsidP="001B35AE">
            <w:pPr>
              <w:spacing w:after="120"/>
              <w:jc w:val="both"/>
              <w:rPr>
                <w:sz w:val="22"/>
              </w:rPr>
            </w:pPr>
            <w:r>
              <w:rPr>
                <w:sz w:val="22"/>
              </w:rPr>
              <w:t>[</w:t>
            </w:r>
            <w:r w:rsidR="00466992" w:rsidRPr="00935925">
              <w:rPr>
                <w:sz w:val="22"/>
              </w:rPr>
              <w:t xml:space="preserve">ERCOT </w:t>
            </w:r>
            <w:r w:rsidR="00381F2B">
              <w:rPr>
                <w:sz w:val="22"/>
              </w:rPr>
              <w:t>[</w:t>
            </w:r>
            <w:r w:rsidR="00466992" w:rsidRPr="00935925">
              <w:rPr>
                <w:sz w:val="22"/>
              </w:rPr>
              <w:t>North</w:t>
            </w:r>
            <w:r w:rsidR="00381F2B">
              <w:rPr>
                <w:sz w:val="22"/>
              </w:rPr>
              <w:t xml:space="preserve"> / West]</w:t>
            </w:r>
            <w:r w:rsidR="00466992" w:rsidRPr="00935925">
              <w:rPr>
                <w:sz w:val="22"/>
              </w:rPr>
              <w:t xml:space="preserve"> </w:t>
            </w:r>
            <w:r w:rsidR="00B627CB">
              <w:rPr>
                <w:sz w:val="22"/>
              </w:rPr>
              <w:t>345 kV</w:t>
            </w:r>
            <w:r w:rsidR="00B627CB" w:rsidRPr="00935925">
              <w:rPr>
                <w:sz w:val="22"/>
              </w:rPr>
              <w:t xml:space="preserve"> </w:t>
            </w:r>
            <w:r w:rsidR="00466992" w:rsidRPr="00935925">
              <w:rPr>
                <w:sz w:val="22"/>
              </w:rPr>
              <w:t>Hub</w:t>
            </w:r>
            <w:r>
              <w:rPr>
                <w:sz w:val="22"/>
              </w:rPr>
              <w:t>]</w:t>
            </w:r>
          </w:p>
        </w:tc>
      </w:tr>
      <w:tr w:rsidR="00B70338" w:rsidRPr="00935925" w:rsidTr="00512B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7" w:type="dxa"/>
        </w:trPr>
        <w:tc>
          <w:tcPr>
            <w:tcW w:w="3061" w:type="dxa"/>
            <w:tcBorders>
              <w:top w:val="single" w:sz="6" w:space="0" w:color="auto"/>
              <w:left w:val="single" w:sz="6" w:space="0" w:color="auto"/>
              <w:bottom w:val="single" w:sz="6" w:space="0" w:color="auto"/>
              <w:right w:val="single" w:sz="6" w:space="0" w:color="auto"/>
            </w:tcBorders>
          </w:tcPr>
          <w:p w:rsidR="00B70338" w:rsidRPr="00935925" w:rsidRDefault="00B70338" w:rsidP="00B70338">
            <w:pPr>
              <w:spacing w:after="120"/>
              <w:rPr>
                <w:b/>
                <w:sz w:val="22"/>
              </w:rPr>
            </w:pPr>
            <w:r w:rsidRPr="00935925">
              <w:rPr>
                <w:b/>
                <w:sz w:val="22"/>
              </w:rPr>
              <w:t>Delivery Period</w:t>
            </w:r>
          </w:p>
        </w:tc>
        <w:tc>
          <w:tcPr>
            <w:tcW w:w="6503" w:type="dxa"/>
            <w:tcBorders>
              <w:top w:val="single" w:sz="6" w:space="0" w:color="auto"/>
              <w:left w:val="single" w:sz="6" w:space="0" w:color="auto"/>
              <w:bottom w:val="single" w:sz="6" w:space="0" w:color="auto"/>
              <w:right w:val="single" w:sz="6" w:space="0" w:color="auto"/>
            </w:tcBorders>
          </w:tcPr>
          <w:p w:rsidR="00FC03AB" w:rsidRPr="00935925" w:rsidRDefault="00B70338" w:rsidP="00381F2B">
            <w:pPr>
              <w:spacing w:after="120"/>
              <w:jc w:val="both"/>
              <w:rPr>
                <w:sz w:val="22"/>
              </w:rPr>
            </w:pPr>
            <w:r w:rsidRPr="00935925">
              <w:rPr>
                <w:sz w:val="22"/>
              </w:rPr>
              <w:t xml:space="preserve">From and including </w:t>
            </w:r>
            <w:r w:rsidR="00133606" w:rsidRPr="00935925">
              <w:rPr>
                <w:sz w:val="22"/>
              </w:rPr>
              <w:t>July 1, 2015</w:t>
            </w:r>
            <w:r w:rsidRPr="00935925">
              <w:rPr>
                <w:sz w:val="22"/>
              </w:rPr>
              <w:t xml:space="preserve">, through and including </w:t>
            </w:r>
            <w:r w:rsidR="00133606" w:rsidRPr="00935925">
              <w:rPr>
                <w:sz w:val="22"/>
              </w:rPr>
              <w:t>June 30, 202</w:t>
            </w:r>
            <w:r w:rsidR="00252F3F">
              <w:rPr>
                <w:sz w:val="22"/>
              </w:rPr>
              <w:t>2</w:t>
            </w:r>
            <w:r w:rsidR="00381F2B">
              <w:rPr>
                <w:sz w:val="22"/>
              </w:rPr>
              <w:t>, Monday through Sunday including NERC holidays HE 0100 through HE 2400</w:t>
            </w:r>
          </w:p>
        </w:tc>
      </w:tr>
      <w:tr w:rsidR="001760B8" w:rsidRPr="00935925" w:rsidTr="00512B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7" w:type="dxa"/>
        </w:trPr>
        <w:tc>
          <w:tcPr>
            <w:tcW w:w="3061" w:type="dxa"/>
            <w:tcBorders>
              <w:top w:val="single" w:sz="6" w:space="0" w:color="auto"/>
              <w:left w:val="single" w:sz="6" w:space="0" w:color="auto"/>
              <w:bottom w:val="single" w:sz="6" w:space="0" w:color="auto"/>
              <w:right w:val="single" w:sz="6" w:space="0" w:color="auto"/>
            </w:tcBorders>
          </w:tcPr>
          <w:p w:rsidR="009E2C94" w:rsidRPr="00935925" w:rsidRDefault="009E2C94" w:rsidP="001760B8">
            <w:pPr>
              <w:spacing w:after="120"/>
              <w:rPr>
                <w:b/>
                <w:sz w:val="22"/>
              </w:rPr>
            </w:pPr>
            <w:r w:rsidRPr="00935925">
              <w:rPr>
                <w:b/>
                <w:sz w:val="22"/>
              </w:rPr>
              <w:t>Product Type</w:t>
            </w:r>
          </w:p>
        </w:tc>
        <w:tc>
          <w:tcPr>
            <w:tcW w:w="6503" w:type="dxa"/>
            <w:tcBorders>
              <w:top w:val="single" w:sz="6" w:space="0" w:color="auto"/>
              <w:left w:val="single" w:sz="6" w:space="0" w:color="auto"/>
              <w:bottom w:val="single" w:sz="6" w:space="0" w:color="auto"/>
              <w:right w:val="single" w:sz="6" w:space="0" w:color="auto"/>
            </w:tcBorders>
          </w:tcPr>
          <w:p w:rsidR="009E2C94" w:rsidRPr="00935925" w:rsidRDefault="004D6843" w:rsidP="00466992">
            <w:pPr>
              <w:spacing w:after="120"/>
              <w:jc w:val="both"/>
              <w:rPr>
                <w:sz w:val="22"/>
              </w:rPr>
            </w:pPr>
            <w:r w:rsidRPr="00935925">
              <w:rPr>
                <w:sz w:val="22"/>
              </w:rPr>
              <w:t>Firm LD</w:t>
            </w:r>
          </w:p>
        </w:tc>
      </w:tr>
      <w:tr w:rsidR="009E2C94" w:rsidRPr="00935925" w:rsidTr="003E6CDB">
        <w:trPr>
          <w:gridAfter w:val="1"/>
          <w:wAfter w:w="27" w:type="dxa"/>
        </w:trPr>
        <w:tc>
          <w:tcPr>
            <w:tcW w:w="3061" w:type="dxa"/>
            <w:tcBorders>
              <w:top w:val="single" w:sz="6" w:space="0" w:color="auto"/>
              <w:left w:val="single" w:sz="6" w:space="0" w:color="auto"/>
              <w:bottom w:val="single" w:sz="6" w:space="0" w:color="auto"/>
              <w:right w:val="single" w:sz="6" w:space="0" w:color="auto"/>
            </w:tcBorders>
          </w:tcPr>
          <w:p w:rsidR="009E2C94" w:rsidRPr="00935925" w:rsidRDefault="009E2C94" w:rsidP="00E13992">
            <w:pPr>
              <w:spacing w:after="120"/>
              <w:rPr>
                <w:b/>
                <w:sz w:val="22"/>
              </w:rPr>
            </w:pPr>
            <w:r w:rsidRPr="00935925">
              <w:rPr>
                <w:b/>
                <w:sz w:val="22"/>
              </w:rPr>
              <w:t>Scheduling</w:t>
            </w:r>
          </w:p>
        </w:tc>
        <w:tc>
          <w:tcPr>
            <w:tcW w:w="6503" w:type="dxa"/>
            <w:tcBorders>
              <w:top w:val="single" w:sz="6" w:space="0" w:color="auto"/>
              <w:left w:val="single" w:sz="6" w:space="0" w:color="auto"/>
              <w:bottom w:val="single" w:sz="6" w:space="0" w:color="auto"/>
              <w:right w:val="single" w:sz="6" w:space="0" w:color="auto"/>
            </w:tcBorders>
          </w:tcPr>
          <w:p w:rsidR="009E2C94" w:rsidRPr="00935925" w:rsidRDefault="004B6E6E" w:rsidP="00C62423">
            <w:pPr>
              <w:spacing w:after="120"/>
              <w:jc w:val="both"/>
              <w:rPr>
                <w:sz w:val="22"/>
              </w:rPr>
            </w:pPr>
            <w:r w:rsidRPr="00935925">
              <w:rPr>
                <w:sz w:val="22"/>
              </w:rPr>
              <w:t>Seller shall schedule</w:t>
            </w:r>
            <w:r w:rsidR="00252F3F">
              <w:rPr>
                <w:sz w:val="22"/>
              </w:rPr>
              <w:t>,</w:t>
            </w:r>
            <w:r w:rsidRPr="00935925">
              <w:rPr>
                <w:sz w:val="22"/>
              </w:rPr>
              <w:t xml:space="preserve"> though </w:t>
            </w:r>
            <w:r w:rsidR="00554689" w:rsidRPr="00935925">
              <w:rPr>
                <w:sz w:val="22"/>
              </w:rPr>
              <w:t xml:space="preserve">the </w:t>
            </w:r>
            <w:r w:rsidRPr="00935925">
              <w:rPr>
                <w:sz w:val="22"/>
              </w:rPr>
              <w:t xml:space="preserve">Energy Manager </w:t>
            </w:r>
            <w:r w:rsidR="00D2249C" w:rsidRPr="00935925">
              <w:rPr>
                <w:sz w:val="22"/>
              </w:rPr>
              <w:t xml:space="preserve">(or any </w:t>
            </w:r>
            <w:r w:rsidR="00C62423" w:rsidRPr="00935925">
              <w:rPr>
                <w:sz w:val="22"/>
              </w:rPr>
              <w:t>replacement</w:t>
            </w:r>
            <w:r w:rsidR="00D2249C" w:rsidRPr="00935925">
              <w:rPr>
                <w:sz w:val="22"/>
              </w:rPr>
              <w:t xml:space="preserve"> energy manager)</w:t>
            </w:r>
            <w:r w:rsidR="00252F3F">
              <w:rPr>
                <w:sz w:val="22"/>
              </w:rPr>
              <w:t>,</w:t>
            </w:r>
            <w:r w:rsidR="00D2249C" w:rsidRPr="00935925">
              <w:rPr>
                <w:sz w:val="22"/>
              </w:rPr>
              <w:t xml:space="preserve"> </w:t>
            </w:r>
            <w:r w:rsidRPr="00935925">
              <w:rPr>
                <w:sz w:val="22"/>
              </w:rPr>
              <w:t>the Q</w:t>
            </w:r>
            <w:r w:rsidR="00D2249C" w:rsidRPr="00935925">
              <w:rPr>
                <w:sz w:val="22"/>
              </w:rPr>
              <w:t>uantity under the Transaction.</w:t>
            </w:r>
          </w:p>
        </w:tc>
      </w:tr>
      <w:tr w:rsidR="00381F2B" w:rsidRPr="00935925" w:rsidTr="003E6CDB">
        <w:trPr>
          <w:gridAfter w:val="1"/>
          <w:wAfter w:w="27" w:type="dxa"/>
        </w:trPr>
        <w:tc>
          <w:tcPr>
            <w:tcW w:w="3061" w:type="dxa"/>
            <w:tcBorders>
              <w:top w:val="single" w:sz="6" w:space="0" w:color="auto"/>
              <w:left w:val="single" w:sz="6" w:space="0" w:color="auto"/>
              <w:bottom w:val="single" w:sz="6" w:space="0" w:color="auto"/>
              <w:right w:val="single" w:sz="6" w:space="0" w:color="auto"/>
            </w:tcBorders>
          </w:tcPr>
          <w:p w:rsidR="00381F2B" w:rsidRPr="00935925" w:rsidRDefault="00381F2B" w:rsidP="00E13992">
            <w:pPr>
              <w:spacing w:after="120"/>
              <w:rPr>
                <w:b/>
                <w:sz w:val="22"/>
              </w:rPr>
            </w:pPr>
            <w:r>
              <w:rPr>
                <w:b/>
                <w:sz w:val="22"/>
              </w:rPr>
              <w:t>Energy Manager</w:t>
            </w:r>
          </w:p>
        </w:tc>
        <w:tc>
          <w:tcPr>
            <w:tcW w:w="6503" w:type="dxa"/>
            <w:tcBorders>
              <w:top w:val="single" w:sz="6" w:space="0" w:color="auto"/>
              <w:left w:val="single" w:sz="6" w:space="0" w:color="auto"/>
              <w:bottom w:val="single" w:sz="6" w:space="0" w:color="auto"/>
              <w:right w:val="single" w:sz="6" w:space="0" w:color="auto"/>
            </w:tcBorders>
          </w:tcPr>
          <w:p w:rsidR="00B627CB" w:rsidRPr="00935925" w:rsidRDefault="00381F2B" w:rsidP="00B627CB">
            <w:pPr>
              <w:spacing w:after="120"/>
              <w:jc w:val="both"/>
              <w:rPr>
                <w:sz w:val="22"/>
              </w:rPr>
            </w:pPr>
            <w:r>
              <w:rPr>
                <w:sz w:val="22"/>
              </w:rPr>
              <w:t>MP2 Energy Texas LLC</w:t>
            </w:r>
            <w:r w:rsidR="00AB76FB">
              <w:rPr>
                <w:rStyle w:val="FootnoteReference"/>
                <w:sz w:val="22"/>
              </w:rPr>
              <w:footnoteReference w:id="2"/>
            </w:r>
          </w:p>
        </w:tc>
      </w:tr>
      <w:tr w:rsidR="00E11194" w:rsidRPr="00935925" w:rsidTr="003E6CDB">
        <w:trPr>
          <w:gridAfter w:val="1"/>
          <w:wAfter w:w="27" w:type="dxa"/>
        </w:trPr>
        <w:tc>
          <w:tcPr>
            <w:tcW w:w="3061" w:type="dxa"/>
            <w:tcBorders>
              <w:top w:val="single" w:sz="6" w:space="0" w:color="auto"/>
              <w:left w:val="single" w:sz="6" w:space="0" w:color="auto"/>
              <w:bottom w:val="single" w:sz="6" w:space="0" w:color="auto"/>
              <w:right w:val="single" w:sz="6" w:space="0" w:color="auto"/>
            </w:tcBorders>
          </w:tcPr>
          <w:p w:rsidR="00E11194" w:rsidRPr="00935925" w:rsidRDefault="009E2C94" w:rsidP="009E2C94">
            <w:pPr>
              <w:spacing w:after="120"/>
              <w:rPr>
                <w:b/>
                <w:sz w:val="22"/>
              </w:rPr>
            </w:pPr>
            <w:r w:rsidRPr="00935925">
              <w:rPr>
                <w:b/>
                <w:sz w:val="22"/>
              </w:rPr>
              <w:t>Payment Date</w:t>
            </w:r>
          </w:p>
        </w:tc>
        <w:tc>
          <w:tcPr>
            <w:tcW w:w="6503" w:type="dxa"/>
            <w:tcBorders>
              <w:top w:val="single" w:sz="6" w:space="0" w:color="auto"/>
              <w:left w:val="single" w:sz="6" w:space="0" w:color="auto"/>
              <w:bottom w:val="single" w:sz="6" w:space="0" w:color="auto"/>
              <w:right w:val="single" w:sz="6" w:space="0" w:color="auto"/>
            </w:tcBorders>
          </w:tcPr>
          <w:p w:rsidR="00F8654B" w:rsidRPr="00935925" w:rsidRDefault="004B6E6E" w:rsidP="00A602A6">
            <w:pPr>
              <w:spacing w:after="120"/>
              <w:jc w:val="both"/>
              <w:rPr>
                <w:sz w:val="22"/>
              </w:rPr>
            </w:pPr>
            <w:r w:rsidRPr="00935925">
              <w:rPr>
                <w:sz w:val="22"/>
              </w:rPr>
              <w:t>Daily</w:t>
            </w:r>
          </w:p>
        </w:tc>
      </w:tr>
      <w:tr w:rsidR="006E6077" w:rsidRPr="00935925" w:rsidTr="00BD2884">
        <w:tblPrEx>
          <w:tblCellMar>
            <w:left w:w="108" w:type="dxa"/>
            <w:right w:w="108" w:type="dxa"/>
          </w:tblCellMar>
          <w:tblLook w:val="00A0"/>
        </w:tblPrEx>
        <w:tc>
          <w:tcPr>
            <w:tcW w:w="3061" w:type="dxa"/>
          </w:tcPr>
          <w:p w:rsidR="006E6077" w:rsidRPr="00935925" w:rsidRDefault="006E6077" w:rsidP="00BD2884">
            <w:pPr>
              <w:rPr>
                <w:b/>
                <w:sz w:val="22"/>
              </w:rPr>
            </w:pPr>
          </w:p>
        </w:tc>
        <w:tc>
          <w:tcPr>
            <w:tcW w:w="6530" w:type="dxa"/>
            <w:gridSpan w:val="2"/>
          </w:tcPr>
          <w:p w:rsidR="006E6077" w:rsidRPr="00935925" w:rsidRDefault="006E6077" w:rsidP="00100989">
            <w:pPr>
              <w:jc w:val="both"/>
              <w:rPr>
                <w:sz w:val="22"/>
              </w:rPr>
            </w:pPr>
          </w:p>
          <w:p w:rsidR="006E6077" w:rsidRPr="00935925" w:rsidRDefault="006E6077" w:rsidP="00100989">
            <w:pPr>
              <w:jc w:val="both"/>
              <w:rPr>
                <w:b/>
                <w:sz w:val="22"/>
              </w:rPr>
            </w:pPr>
            <w:r w:rsidRPr="00935925">
              <w:rPr>
                <w:b/>
                <w:sz w:val="22"/>
              </w:rPr>
              <w:t>CREDIT SUPPORT AND COLLATERAL</w:t>
            </w:r>
          </w:p>
          <w:p w:rsidR="00100989" w:rsidRPr="00935925" w:rsidRDefault="00100989" w:rsidP="00100989">
            <w:pPr>
              <w:jc w:val="both"/>
              <w:rPr>
                <w:sz w:val="22"/>
              </w:rPr>
            </w:pPr>
          </w:p>
        </w:tc>
      </w:tr>
      <w:tr w:rsidR="00D15CEC" w:rsidRPr="00935925" w:rsidTr="0098107B">
        <w:tblPrEx>
          <w:tblCellMar>
            <w:left w:w="108" w:type="dxa"/>
            <w:right w:w="108" w:type="dxa"/>
          </w:tblCellMar>
          <w:tblLook w:val="00A0"/>
        </w:tblPrEx>
        <w:tc>
          <w:tcPr>
            <w:tcW w:w="3061" w:type="dxa"/>
          </w:tcPr>
          <w:p w:rsidR="00D15CEC" w:rsidRPr="00935925" w:rsidRDefault="00D15CEC" w:rsidP="0098107B">
            <w:pPr>
              <w:rPr>
                <w:sz w:val="22"/>
              </w:rPr>
            </w:pPr>
            <w:r w:rsidRPr="00935925">
              <w:rPr>
                <w:b/>
                <w:sz w:val="22"/>
              </w:rPr>
              <w:t>Guaranty</w:t>
            </w:r>
          </w:p>
        </w:tc>
        <w:tc>
          <w:tcPr>
            <w:tcW w:w="6530" w:type="dxa"/>
            <w:gridSpan w:val="2"/>
          </w:tcPr>
          <w:p w:rsidR="00D15CEC" w:rsidRDefault="00BC37D4" w:rsidP="0098107B">
            <w:pPr>
              <w:jc w:val="both"/>
              <w:rPr>
                <w:sz w:val="22"/>
              </w:rPr>
            </w:pPr>
            <w:r w:rsidRPr="00BC37D4">
              <w:rPr>
                <w:sz w:val="22"/>
              </w:rPr>
              <w:t>BP</w:t>
            </w:r>
            <w:r>
              <w:rPr>
                <w:sz w:val="22"/>
              </w:rPr>
              <w:t xml:space="preserve"> Corporation North America Inc.</w:t>
            </w:r>
            <w:r w:rsidR="00D15CEC" w:rsidRPr="00935925">
              <w:rPr>
                <w:sz w:val="22"/>
              </w:rPr>
              <w:t xml:space="preserve"> will issue a guaranty in the amount of $[_________] for the benefit of Seller in respect of Buyer’s obligations (which shall remain in effect from and after the Trade Date until full and final satisfaction of Buyer’s obligations) in a form agreed by Seller prior to entering into the Transaction.</w:t>
            </w:r>
          </w:p>
          <w:p w:rsidR="00D15CEC" w:rsidRPr="00935925" w:rsidRDefault="00D15CEC" w:rsidP="001B35AE">
            <w:pPr>
              <w:jc w:val="both"/>
              <w:rPr>
                <w:sz w:val="22"/>
              </w:rPr>
            </w:pPr>
            <w:r w:rsidRPr="00935925">
              <w:rPr>
                <w:sz w:val="22"/>
              </w:rPr>
              <w:t xml:space="preserve">In the event that at any time the Credit Rating of </w:t>
            </w:r>
            <w:r w:rsidR="00BC37D4" w:rsidRPr="00BC37D4">
              <w:rPr>
                <w:sz w:val="22"/>
              </w:rPr>
              <w:t>BP</w:t>
            </w:r>
            <w:r w:rsidR="00BC37D4">
              <w:rPr>
                <w:sz w:val="22"/>
              </w:rPr>
              <w:t xml:space="preserve"> Corporation North America Inc.</w:t>
            </w:r>
            <w:r>
              <w:rPr>
                <w:sz w:val="22"/>
              </w:rPr>
              <w:t xml:space="preserve"> </w:t>
            </w:r>
            <w:r w:rsidRPr="00935925">
              <w:rPr>
                <w:sz w:val="22"/>
              </w:rPr>
              <w:t xml:space="preserve">falls below BBB by S&amp;P or </w:t>
            </w:r>
            <w:r w:rsidR="00BC37D4" w:rsidRPr="00935925">
              <w:rPr>
                <w:sz w:val="22"/>
              </w:rPr>
              <w:t>Baa</w:t>
            </w:r>
            <w:r w:rsidR="00BC37D4">
              <w:rPr>
                <w:sz w:val="22"/>
              </w:rPr>
              <w:t>2</w:t>
            </w:r>
            <w:r w:rsidRPr="00935925">
              <w:rPr>
                <w:sz w:val="22"/>
              </w:rPr>
              <w:t xml:space="preserve"> by Moody’s, and Buyer does not post cash to cover Seller’s exposure, if any, an Additional Termination Event in respect of Buyer shall occur.</w:t>
            </w:r>
          </w:p>
        </w:tc>
      </w:tr>
      <w:tr w:rsidR="0091534E" w:rsidRPr="00935925" w:rsidTr="00BD2884">
        <w:tblPrEx>
          <w:tblCellMar>
            <w:left w:w="108" w:type="dxa"/>
            <w:right w:w="108" w:type="dxa"/>
          </w:tblCellMar>
          <w:tblLook w:val="00A0"/>
        </w:tblPrEx>
        <w:tc>
          <w:tcPr>
            <w:tcW w:w="3061" w:type="dxa"/>
          </w:tcPr>
          <w:p w:rsidR="0091534E" w:rsidRPr="00935925" w:rsidRDefault="0012796A" w:rsidP="0012796A">
            <w:pPr>
              <w:rPr>
                <w:b/>
                <w:sz w:val="22"/>
              </w:rPr>
            </w:pPr>
            <w:r w:rsidRPr="00935925">
              <w:rPr>
                <w:b/>
                <w:sz w:val="22"/>
              </w:rPr>
              <w:t>Pre</w:t>
            </w:r>
            <w:r w:rsidR="00252F3F">
              <w:rPr>
                <w:b/>
                <w:sz w:val="22"/>
              </w:rPr>
              <w:t>-</w:t>
            </w:r>
            <w:r w:rsidRPr="00935925">
              <w:rPr>
                <w:b/>
                <w:sz w:val="22"/>
              </w:rPr>
              <w:t>COD</w:t>
            </w:r>
            <w:r w:rsidR="008801B7" w:rsidRPr="00935925">
              <w:rPr>
                <w:b/>
                <w:sz w:val="22"/>
              </w:rPr>
              <w:t xml:space="preserve"> Letter of Credit and Collateral Package</w:t>
            </w:r>
          </w:p>
        </w:tc>
        <w:tc>
          <w:tcPr>
            <w:tcW w:w="6530" w:type="dxa"/>
            <w:gridSpan w:val="2"/>
          </w:tcPr>
          <w:p w:rsidR="0091534E" w:rsidRPr="00935925" w:rsidRDefault="00927ABA" w:rsidP="00100989">
            <w:pPr>
              <w:jc w:val="both"/>
              <w:rPr>
                <w:sz w:val="22"/>
              </w:rPr>
            </w:pPr>
            <w:r>
              <w:rPr>
                <w:sz w:val="22"/>
              </w:rPr>
              <w:t xml:space="preserve">Within 5 </w:t>
            </w:r>
            <w:r w:rsidR="00A833C2">
              <w:rPr>
                <w:sz w:val="22"/>
              </w:rPr>
              <w:t xml:space="preserve">business </w:t>
            </w:r>
            <w:r>
              <w:rPr>
                <w:sz w:val="22"/>
              </w:rPr>
              <w:t xml:space="preserve">days </w:t>
            </w:r>
            <w:r w:rsidR="00600E96">
              <w:rPr>
                <w:sz w:val="22"/>
              </w:rPr>
              <w:t xml:space="preserve">of </w:t>
            </w:r>
            <w:r w:rsidR="00A833C2">
              <w:rPr>
                <w:sz w:val="22"/>
              </w:rPr>
              <w:t xml:space="preserve">the </w:t>
            </w:r>
            <w:r>
              <w:rPr>
                <w:sz w:val="22"/>
              </w:rPr>
              <w:t xml:space="preserve">execution </w:t>
            </w:r>
            <w:r w:rsidR="00A833C2">
              <w:rPr>
                <w:sz w:val="22"/>
              </w:rPr>
              <w:t xml:space="preserve">of the EEI documentation and </w:t>
            </w:r>
            <w:r>
              <w:rPr>
                <w:sz w:val="22"/>
              </w:rPr>
              <w:t>until the Project</w:t>
            </w:r>
            <w:r w:rsidR="0098107B">
              <w:rPr>
                <w:sz w:val="22"/>
              </w:rPr>
              <w:t>’s</w:t>
            </w:r>
            <w:r>
              <w:rPr>
                <w:sz w:val="22"/>
              </w:rPr>
              <w:t xml:space="preserve"> </w:t>
            </w:r>
            <w:r w:rsidR="00940DB0" w:rsidRPr="00935925">
              <w:rPr>
                <w:sz w:val="22"/>
              </w:rPr>
              <w:t>COD</w:t>
            </w:r>
            <w:r w:rsidR="0091534E" w:rsidRPr="00935925">
              <w:rPr>
                <w:sz w:val="22"/>
              </w:rPr>
              <w:t xml:space="preserve">, </w:t>
            </w:r>
            <w:r w:rsidR="006E6077" w:rsidRPr="00935925">
              <w:rPr>
                <w:sz w:val="22"/>
              </w:rPr>
              <w:t>Seller</w:t>
            </w:r>
            <w:r w:rsidR="0091534E" w:rsidRPr="00935925">
              <w:rPr>
                <w:sz w:val="22"/>
              </w:rPr>
              <w:t xml:space="preserve"> will provide to </w:t>
            </w:r>
            <w:r w:rsidR="006E6077" w:rsidRPr="00935925">
              <w:rPr>
                <w:sz w:val="22"/>
              </w:rPr>
              <w:t>Buyer</w:t>
            </w:r>
            <w:r w:rsidR="0091534E" w:rsidRPr="00935925">
              <w:rPr>
                <w:sz w:val="22"/>
              </w:rPr>
              <w:t xml:space="preserve">: </w:t>
            </w:r>
          </w:p>
          <w:p w:rsidR="0012796A" w:rsidRPr="00935925" w:rsidRDefault="008801B7" w:rsidP="0064325E">
            <w:pPr>
              <w:jc w:val="both"/>
              <w:rPr>
                <w:sz w:val="22"/>
              </w:rPr>
            </w:pPr>
            <w:r w:rsidRPr="00935925">
              <w:rPr>
                <w:sz w:val="22"/>
              </w:rPr>
              <w:t>(</w:t>
            </w:r>
            <w:proofErr w:type="spellStart"/>
            <w:r w:rsidRPr="00935925">
              <w:rPr>
                <w:sz w:val="22"/>
              </w:rPr>
              <w:t>i</w:t>
            </w:r>
            <w:proofErr w:type="spellEnd"/>
            <w:r w:rsidRPr="00935925">
              <w:rPr>
                <w:sz w:val="22"/>
              </w:rPr>
              <w:t xml:space="preserve">) </w:t>
            </w:r>
            <w:proofErr w:type="gramStart"/>
            <w:r w:rsidR="00D40411">
              <w:rPr>
                <w:sz w:val="22"/>
              </w:rPr>
              <w:t>a</w:t>
            </w:r>
            <w:proofErr w:type="gramEnd"/>
            <w:r w:rsidRPr="00935925">
              <w:rPr>
                <w:sz w:val="22"/>
              </w:rPr>
              <w:t xml:space="preserve"> </w:t>
            </w:r>
            <w:r w:rsidR="00252F3F">
              <w:rPr>
                <w:sz w:val="22"/>
              </w:rPr>
              <w:t>l</w:t>
            </w:r>
            <w:r w:rsidRPr="00935925">
              <w:rPr>
                <w:sz w:val="22"/>
              </w:rPr>
              <w:t xml:space="preserve">etter of </w:t>
            </w:r>
            <w:r w:rsidR="00252F3F">
              <w:rPr>
                <w:sz w:val="22"/>
              </w:rPr>
              <w:t>c</w:t>
            </w:r>
            <w:r w:rsidRPr="00935925">
              <w:rPr>
                <w:sz w:val="22"/>
              </w:rPr>
              <w:t xml:space="preserve">redit from </w:t>
            </w:r>
            <w:r w:rsidR="00375C8C" w:rsidRPr="00935925">
              <w:rPr>
                <w:sz w:val="22"/>
              </w:rPr>
              <w:t>one or more Q</w:t>
            </w:r>
            <w:r w:rsidRPr="00935925">
              <w:rPr>
                <w:sz w:val="22"/>
              </w:rPr>
              <w:t>ualified Issuer</w:t>
            </w:r>
            <w:r w:rsidR="00375C8C" w:rsidRPr="00935925">
              <w:rPr>
                <w:sz w:val="22"/>
              </w:rPr>
              <w:t>s</w:t>
            </w:r>
            <w:r w:rsidRPr="00935925">
              <w:rPr>
                <w:sz w:val="22"/>
              </w:rPr>
              <w:t xml:space="preserve"> i</w:t>
            </w:r>
            <w:r w:rsidR="0091534E" w:rsidRPr="00935925">
              <w:rPr>
                <w:sz w:val="22"/>
              </w:rPr>
              <w:t>n</w:t>
            </w:r>
            <w:r w:rsidR="003E6CDB" w:rsidRPr="00935925">
              <w:rPr>
                <w:sz w:val="22"/>
              </w:rPr>
              <w:t xml:space="preserve"> an</w:t>
            </w:r>
            <w:r w:rsidR="0091534E" w:rsidRPr="00935925">
              <w:rPr>
                <w:sz w:val="22"/>
              </w:rPr>
              <w:t xml:space="preserve"> amount equal to $</w:t>
            </w:r>
            <w:r w:rsidR="00252F3F">
              <w:rPr>
                <w:sz w:val="22"/>
              </w:rPr>
              <w:t>[</w:t>
            </w:r>
            <w:r w:rsidR="006E07CE">
              <w:rPr>
                <w:sz w:val="22"/>
              </w:rPr>
              <w:t>50</w:t>
            </w:r>
            <w:r w:rsidR="00252F3F">
              <w:rPr>
                <w:sz w:val="22"/>
              </w:rPr>
              <w:t>]</w:t>
            </w:r>
            <w:r w:rsidR="00927ABA">
              <w:rPr>
                <w:sz w:val="22"/>
              </w:rPr>
              <w:t xml:space="preserve"> million</w:t>
            </w:r>
            <w:r w:rsidR="0091534E" w:rsidRPr="00935925">
              <w:rPr>
                <w:sz w:val="22"/>
              </w:rPr>
              <w:t xml:space="preserve">.  </w:t>
            </w:r>
            <w:r w:rsidR="006E6077" w:rsidRPr="00935925">
              <w:rPr>
                <w:sz w:val="22"/>
              </w:rPr>
              <w:t>Seller</w:t>
            </w:r>
            <w:r w:rsidR="0091534E" w:rsidRPr="00935925">
              <w:rPr>
                <w:sz w:val="22"/>
              </w:rPr>
              <w:t xml:space="preserve"> and </w:t>
            </w:r>
            <w:r w:rsidR="006E6077" w:rsidRPr="00935925">
              <w:rPr>
                <w:sz w:val="22"/>
              </w:rPr>
              <w:t>Buyer</w:t>
            </w:r>
            <w:r w:rsidR="0091534E" w:rsidRPr="00935925">
              <w:rPr>
                <w:sz w:val="22"/>
              </w:rPr>
              <w:t xml:space="preserve"> will agree to the form of </w:t>
            </w:r>
            <w:r w:rsidR="00D40411">
              <w:rPr>
                <w:sz w:val="22"/>
              </w:rPr>
              <w:t>l</w:t>
            </w:r>
            <w:r w:rsidRPr="00935925">
              <w:rPr>
                <w:sz w:val="22"/>
              </w:rPr>
              <w:t xml:space="preserve">etter of </w:t>
            </w:r>
            <w:r w:rsidR="00D40411">
              <w:rPr>
                <w:sz w:val="22"/>
              </w:rPr>
              <w:t>c</w:t>
            </w:r>
            <w:r w:rsidRPr="00935925">
              <w:rPr>
                <w:sz w:val="22"/>
              </w:rPr>
              <w:t>redit</w:t>
            </w:r>
            <w:r w:rsidR="0091534E" w:rsidRPr="00935925">
              <w:rPr>
                <w:sz w:val="22"/>
              </w:rPr>
              <w:t xml:space="preserve"> prior to entering the</w:t>
            </w:r>
            <w:r w:rsidR="004B6E6E" w:rsidRPr="00935925">
              <w:rPr>
                <w:sz w:val="22"/>
              </w:rPr>
              <w:t xml:space="preserve"> </w:t>
            </w:r>
            <w:r w:rsidR="00FF3DE3" w:rsidRPr="00935925">
              <w:rPr>
                <w:sz w:val="22"/>
              </w:rPr>
              <w:t>Transaction</w:t>
            </w:r>
            <w:r w:rsidR="00D40411">
              <w:rPr>
                <w:sz w:val="22"/>
              </w:rPr>
              <w:t>; and</w:t>
            </w:r>
          </w:p>
          <w:p w:rsidR="004B6E6E" w:rsidRPr="00935925" w:rsidRDefault="00375C8C" w:rsidP="00D40411">
            <w:pPr>
              <w:ind w:left="702"/>
              <w:jc w:val="both"/>
              <w:rPr>
                <w:sz w:val="22"/>
              </w:rPr>
            </w:pPr>
            <w:r w:rsidRPr="00935925">
              <w:rPr>
                <w:sz w:val="22"/>
              </w:rPr>
              <w:t>“</w:t>
            </w:r>
            <w:r w:rsidR="004B6E6E" w:rsidRPr="00935925">
              <w:rPr>
                <w:b/>
                <w:sz w:val="22"/>
              </w:rPr>
              <w:t>Qualified Issuer</w:t>
            </w:r>
            <w:r w:rsidRPr="00935925">
              <w:rPr>
                <w:sz w:val="22"/>
              </w:rPr>
              <w:t>”</w:t>
            </w:r>
            <w:r w:rsidR="004B6E6E" w:rsidRPr="00935925">
              <w:rPr>
                <w:sz w:val="22"/>
              </w:rPr>
              <w:t xml:space="preserve"> </w:t>
            </w:r>
            <w:r w:rsidR="004B6E6E" w:rsidRPr="00600E96">
              <w:rPr>
                <w:sz w:val="22"/>
              </w:rPr>
              <w:t>means (</w:t>
            </w:r>
            <w:proofErr w:type="spellStart"/>
            <w:r w:rsidR="004B6E6E" w:rsidRPr="00600E96">
              <w:rPr>
                <w:sz w:val="22"/>
              </w:rPr>
              <w:t>i</w:t>
            </w:r>
            <w:proofErr w:type="spellEnd"/>
            <w:r w:rsidR="004B6E6E" w:rsidRPr="00600E96">
              <w:rPr>
                <w:sz w:val="22"/>
              </w:rPr>
              <w:t xml:space="preserve">) </w:t>
            </w:r>
            <w:r w:rsidR="00BC37D4" w:rsidRPr="00600E96">
              <w:rPr>
                <w:sz w:val="22"/>
              </w:rPr>
              <w:t xml:space="preserve">The Bank of Tokyo-Mitsubishi UFJ, Ltd., (ii) Sumitomo Mitsui Banking Corporation, (iii) </w:t>
            </w:r>
            <w:r w:rsidR="00BC37D4" w:rsidRPr="00600E96">
              <w:rPr>
                <w:sz w:val="22"/>
              </w:rPr>
              <w:lastRenderedPageBreak/>
              <w:t>Mizuho Bank, Ltd.</w:t>
            </w:r>
            <w:r w:rsidR="004B6E6E" w:rsidRPr="00600E96">
              <w:rPr>
                <w:sz w:val="22"/>
              </w:rPr>
              <w:t xml:space="preserve"> or (</w:t>
            </w:r>
            <w:r w:rsidR="00BC37D4" w:rsidRPr="00600E96">
              <w:rPr>
                <w:sz w:val="22"/>
              </w:rPr>
              <w:t>iv</w:t>
            </w:r>
            <w:r w:rsidR="004B6E6E" w:rsidRPr="00600E96">
              <w:rPr>
                <w:sz w:val="22"/>
              </w:rPr>
              <w:t>) a major U.S. commercial bank or a U.S. branch of a foreign bank</w:t>
            </w:r>
            <w:r w:rsidR="004B6E6E" w:rsidRPr="00935925">
              <w:rPr>
                <w:sz w:val="22"/>
              </w:rPr>
              <w:t xml:space="preserve"> that, at the time of delivery of a letter of credit, (A) has a combined capital surplus of $10,000,000,000 and (B) has a senior unsecured long-term credit rating (the “</w:t>
            </w:r>
            <w:r w:rsidR="004B6E6E" w:rsidRPr="00AE02AE">
              <w:rPr>
                <w:b/>
                <w:sz w:val="22"/>
              </w:rPr>
              <w:t>Credit Rating</w:t>
            </w:r>
            <w:r w:rsidR="004B6E6E" w:rsidRPr="00935925">
              <w:rPr>
                <w:sz w:val="22"/>
              </w:rPr>
              <w:t>”) of at l</w:t>
            </w:r>
            <w:r w:rsidR="00581E35" w:rsidRPr="00935925">
              <w:rPr>
                <w:sz w:val="22"/>
              </w:rPr>
              <w:t>east “</w:t>
            </w:r>
            <w:r w:rsidR="00AE02AE">
              <w:rPr>
                <w:sz w:val="22"/>
              </w:rPr>
              <w:t>[</w:t>
            </w:r>
            <w:r w:rsidR="00581E35" w:rsidRPr="00935925">
              <w:rPr>
                <w:sz w:val="22"/>
              </w:rPr>
              <w:t>A-</w:t>
            </w:r>
            <w:r w:rsidR="00AE02AE">
              <w:rPr>
                <w:sz w:val="22"/>
              </w:rPr>
              <w:t>]</w:t>
            </w:r>
            <w:r w:rsidR="00581E35" w:rsidRPr="00935925">
              <w:rPr>
                <w:sz w:val="22"/>
              </w:rPr>
              <w:t>” by S&amp;P or “</w:t>
            </w:r>
            <w:r w:rsidR="00AE02AE">
              <w:rPr>
                <w:sz w:val="22"/>
              </w:rPr>
              <w:t>[</w:t>
            </w:r>
            <w:r w:rsidR="00581E35" w:rsidRPr="00935925">
              <w:rPr>
                <w:sz w:val="22"/>
              </w:rPr>
              <w:t>A3</w:t>
            </w:r>
            <w:r w:rsidR="00AE02AE">
              <w:rPr>
                <w:sz w:val="22"/>
              </w:rPr>
              <w:t>]</w:t>
            </w:r>
            <w:r w:rsidR="00581E35" w:rsidRPr="00935925">
              <w:rPr>
                <w:sz w:val="22"/>
              </w:rPr>
              <w:t>”</w:t>
            </w:r>
            <w:r w:rsidR="004B6E6E" w:rsidRPr="00935925">
              <w:rPr>
                <w:sz w:val="22"/>
              </w:rPr>
              <w:t xml:space="preserve"> by Moody’s.  Customary Letter of Credit Default provisions to be agreed by the parties prior to entering the </w:t>
            </w:r>
            <w:r w:rsidR="00600E96">
              <w:rPr>
                <w:sz w:val="22"/>
              </w:rPr>
              <w:t>hedge</w:t>
            </w:r>
            <w:r w:rsidR="004B6E6E" w:rsidRPr="00935925">
              <w:rPr>
                <w:sz w:val="22"/>
              </w:rPr>
              <w:t>.</w:t>
            </w:r>
          </w:p>
          <w:p w:rsidR="0091534E" w:rsidRPr="00935925" w:rsidRDefault="0091534E" w:rsidP="001B35AE">
            <w:pPr>
              <w:jc w:val="both"/>
              <w:rPr>
                <w:sz w:val="22"/>
              </w:rPr>
            </w:pPr>
            <w:r w:rsidRPr="00935925">
              <w:rPr>
                <w:sz w:val="22"/>
              </w:rPr>
              <w:t xml:space="preserve">(ii) </w:t>
            </w:r>
            <w:r w:rsidR="00D40411">
              <w:rPr>
                <w:sz w:val="22"/>
              </w:rPr>
              <w:t>a</w:t>
            </w:r>
            <w:r w:rsidR="004626E8" w:rsidRPr="00935925">
              <w:rPr>
                <w:sz w:val="22"/>
              </w:rPr>
              <w:t xml:space="preserve">n </w:t>
            </w:r>
            <w:r w:rsidRPr="00935925">
              <w:rPr>
                <w:sz w:val="22"/>
              </w:rPr>
              <w:t>exclusive</w:t>
            </w:r>
            <w:r w:rsidR="00334BA8" w:rsidRPr="00935925">
              <w:rPr>
                <w:sz w:val="22"/>
              </w:rPr>
              <w:t xml:space="preserve">, </w:t>
            </w:r>
            <w:r w:rsidR="00D40411">
              <w:rPr>
                <w:sz w:val="22"/>
              </w:rPr>
              <w:t>uncapped</w:t>
            </w:r>
            <w:r w:rsidR="00D40411" w:rsidRPr="00935925">
              <w:rPr>
                <w:sz w:val="22"/>
              </w:rPr>
              <w:t xml:space="preserve"> </w:t>
            </w:r>
            <w:r w:rsidRPr="00935925">
              <w:rPr>
                <w:sz w:val="22"/>
              </w:rPr>
              <w:t xml:space="preserve">second lien security interest </w:t>
            </w:r>
            <w:r w:rsidR="00545097" w:rsidRPr="00935925">
              <w:rPr>
                <w:sz w:val="22"/>
              </w:rPr>
              <w:t>on a collateral package consisting of all of the member interests in and all of the assets and properties of Seller</w:t>
            </w:r>
            <w:r w:rsidR="00D40411">
              <w:rPr>
                <w:sz w:val="22"/>
              </w:rPr>
              <w:t xml:space="preserve"> </w:t>
            </w:r>
            <w:r w:rsidR="00545097" w:rsidRPr="00935925">
              <w:rPr>
                <w:sz w:val="22"/>
              </w:rPr>
              <w:t>(the “</w:t>
            </w:r>
            <w:r w:rsidR="00545097" w:rsidRPr="00935925">
              <w:rPr>
                <w:b/>
                <w:sz w:val="22"/>
              </w:rPr>
              <w:t>Collateral Package</w:t>
            </w:r>
            <w:r w:rsidR="00545097" w:rsidRPr="00935925">
              <w:rPr>
                <w:sz w:val="22"/>
              </w:rPr>
              <w:t>”)</w:t>
            </w:r>
            <w:r w:rsidR="00334BA8" w:rsidRPr="00935925">
              <w:rPr>
                <w:sz w:val="22"/>
              </w:rPr>
              <w:t>,</w:t>
            </w:r>
            <w:r w:rsidR="00545097" w:rsidRPr="00935925">
              <w:rPr>
                <w:sz w:val="22"/>
              </w:rPr>
              <w:t xml:space="preserve"> subject only to </w:t>
            </w:r>
            <w:r w:rsidR="00D15CEC">
              <w:rPr>
                <w:sz w:val="22"/>
              </w:rPr>
              <w:t xml:space="preserve">(A) </w:t>
            </w:r>
            <w:r w:rsidR="00545097" w:rsidRPr="00935925">
              <w:rPr>
                <w:sz w:val="22"/>
              </w:rPr>
              <w:t xml:space="preserve">the first lien for the </w:t>
            </w:r>
            <w:r w:rsidR="00D40411">
              <w:rPr>
                <w:sz w:val="22"/>
              </w:rPr>
              <w:t>senior</w:t>
            </w:r>
            <w:r w:rsidR="00D40411" w:rsidRPr="00935925">
              <w:rPr>
                <w:sz w:val="22"/>
              </w:rPr>
              <w:t xml:space="preserve"> </w:t>
            </w:r>
            <w:r w:rsidR="009F2A42">
              <w:rPr>
                <w:sz w:val="22"/>
              </w:rPr>
              <w:t>creditors</w:t>
            </w:r>
            <w:r w:rsidR="00D15CEC">
              <w:rPr>
                <w:sz w:val="22"/>
              </w:rPr>
              <w:t xml:space="preserve">, (B) </w:t>
            </w:r>
            <w:proofErr w:type="spellStart"/>
            <w:r w:rsidR="00D15CEC" w:rsidRPr="00935925">
              <w:rPr>
                <w:sz w:val="22"/>
              </w:rPr>
              <w:t>pari</w:t>
            </w:r>
            <w:proofErr w:type="spellEnd"/>
            <w:r w:rsidR="00D15CEC" w:rsidRPr="00935925">
              <w:rPr>
                <w:sz w:val="22"/>
              </w:rPr>
              <w:t xml:space="preserve"> </w:t>
            </w:r>
            <w:proofErr w:type="spellStart"/>
            <w:r w:rsidR="00D15CEC" w:rsidRPr="00935925">
              <w:rPr>
                <w:sz w:val="22"/>
              </w:rPr>
              <w:t>passu</w:t>
            </w:r>
            <w:proofErr w:type="spellEnd"/>
            <w:r w:rsidR="00D15CEC" w:rsidRPr="00935925">
              <w:rPr>
                <w:sz w:val="22"/>
              </w:rPr>
              <w:t xml:space="preserve"> shared first liens on the Collateral Package securing agreed</w:t>
            </w:r>
            <w:r w:rsidR="00D15CEC">
              <w:rPr>
                <w:sz w:val="22"/>
              </w:rPr>
              <w:t>-</w:t>
            </w:r>
            <w:r w:rsidR="00D15CEC" w:rsidRPr="00935925">
              <w:rPr>
                <w:sz w:val="22"/>
              </w:rPr>
              <w:t>upon types of power transactions entered into in the ordinary course of business and not for speculation that do not exceed agreed upon volume and tenor limits (“</w:t>
            </w:r>
            <w:r w:rsidR="00D15CEC" w:rsidRPr="00935925">
              <w:rPr>
                <w:b/>
                <w:sz w:val="22"/>
              </w:rPr>
              <w:t>Approved Hedges</w:t>
            </w:r>
            <w:r w:rsidR="00D15CEC" w:rsidRPr="00935925">
              <w:rPr>
                <w:sz w:val="22"/>
              </w:rPr>
              <w:t>”)</w:t>
            </w:r>
            <w:r w:rsidR="00D15CEC">
              <w:rPr>
                <w:sz w:val="22"/>
              </w:rPr>
              <w:t>,</w:t>
            </w:r>
            <w:r w:rsidR="009F2A42" w:rsidRPr="00935925">
              <w:rPr>
                <w:sz w:val="22"/>
              </w:rPr>
              <w:t xml:space="preserve"> </w:t>
            </w:r>
            <w:r w:rsidR="00545097" w:rsidRPr="00935925">
              <w:rPr>
                <w:sz w:val="22"/>
              </w:rPr>
              <w:t xml:space="preserve">and </w:t>
            </w:r>
            <w:r w:rsidR="00D15CEC">
              <w:rPr>
                <w:sz w:val="22"/>
              </w:rPr>
              <w:t xml:space="preserve">(C) </w:t>
            </w:r>
            <w:r w:rsidR="00545097" w:rsidRPr="00935925">
              <w:rPr>
                <w:sz w:val="22"/>
              </w:rPr>
              <w:t>standard permitted liens</w:t>
            </w:r>
            <w:r w:rsidR="00A300AA" w:rsidRPr="00935925">
              <w:rPr>
                <w:sz w:val="22"/>
              </w:rPr>
              <w:t xml:space="preserve"> under the terms of the Pre</w:t>
            </w:r>
            <w:r w:rsidR="00D40411">
              <w:rPr>
                <w:sz w:val="22"/>
              </w:rPr>
              <w:t>-</w:t>
            </w:r>
            <w:r w:rsidR="00A300AA" w:rsidRPr="00935925">
              <w:rPr>
                <w:sz w:val="22"/>
              </w:rPr>
              <w:t xml:space="preserve">COD </w:t>
            </w:r>
            <w:proofErr w:type="spellStart"/>
            <w:r w:rsidR="00A300AA" w:rsidRPr="00935925">
              <w:rPr>
                <w:sz w:val="22"/>
              </w:rPr>
              <w:t>Intercreditor</w:t>
            </w:r>
            <w:proofErr w:type="spellEnd"/>
            <w:r w:rsidR="00A300AA" w:rsidRPr="00935925">
              <w:rPr>
                <w:sz w:val="22"/>
              </w:rPr>
              <w:t xml:space="preserve"> described below</w:t>
            </w:r>
            <w:r w:rsidR="00545097" w:rsidRPr="00935925">
              <w:rPr>
                <w:sz w:val="22"/>
              </w:rPr>
              <w:t>.</w:t>
            </w:r>
          </w:p>
        </w:tc>
      </w:tr>
      <w:tr w:rsidR="0091534E" w:rsidRPr="00935925" w:rsidTr="00BD2884">
        <w:tblPrEx>
          <w:tblCellMar>
            <w:left w:w="108" w:type="dxa"/>
            <w:right w:w="108" w:type="dxa"/>
          </w:tblCellMar>
          <w:tblLook w:val="00A0"/>
        </w:tblPrEx>
        <w:tc>
          <w:tcPr>
            <w:tcW w:w="3061" w:type="dxa"/>
          </w:tcPr>
          <w:p w:rsidR="0091534E" w:rsidRPr="00935925" w:rsidRDefault="00C31410" w:rsidP="00C31410">
            <w:pPr>
              <w:rPr>
                <w:b/>
                <w:sz w:val="22"/>
              </w:rPr>
            </w:pPr>
            <w:r w:rsidRPr="00935925">
              <w:rPr>
                <w:b/>
                <w:sz w:val="22"/>
              </w:rPr>
              <w:lastRenderedPageBreak/>
              <w:t>Post</w:t>
            </w:r>
            <w:r w:rsidR="005905AE">
              <w:rPr>
                <w:b/>
                <w:sz w:val="22"/>
              </w:rPr>
              <w:t>-</w:t>
            </w:r>
            <w:r w:rsidRPr="00935925">
              <w:rPr>
                <w:b/>
                <w:sz w:val="22"/>
              </w:rPr>
              <w:t>COD Collateral</w:t>
            </w:r>
          </w:p>
        </w:tc>
        <w:tc>
          <w:tcPr>
            <w:tcW w:w="6530" w:type="dxa"/>
            <w:gridSpan w:val="2"/>
          </w:tcPr>
          <w:p w:rsidR="0079322B" w:rsidRDefault="00C31410" w:rsidP="0079322B">
            <w:pPr>
              <w:jc w:val="both"/>
              <w:rPr>
                <w:sz w:val="22"/>
              </w:rPr>
            </w:pPr>
            <w:r w:rsidRPr="00935925">
              <w:rPr>
                <w:sz w:val="22"/>
              </w:rPr>
              <w:t xml:space="preserve">At and following COD, </w:t>
            </w:r>
            <w:r w:rsidR="006E6077" w:rsidRPr="00935925">
              <w:rPr>
                <w:sz w:val="22"/>
              </w:rPr>
              <w:t>Seller</w:t>
            </w:r>
            <w:r w:rsidR="0091534E" w:rsidRPr="00935925">
              <w:rPr>
                <w:sz w:val="22"/>
              </w:rPr>
              <w:t xml:space="preserve"> will provide to </w:t>
            </w:r>
            <w:r w:rsidR="006E6077" w:rsidRPr="00935925">
              <w:rPr>
                <w:sz w:val="22"/>
              </w:rPr>
              <w:t>Buyer</w:t>
            </w:r>
            <w:r w:rsidR="0091534E" w:rsidRPr="00935925">
              <w:rPr>
                <w:sz w:val="22"/>
              </w:rPr>
              <w:t xml:space="preserve"> a</w:t>
            </w:r>
            <w:r w:rsidR="00334BA8" w:rsidRPr="00935925">
              <w:rPr>
                <w:sz w:val="22"/>
              </w:rPr>
              <w:t xml:space="preserve">n </w:t>
            </w:r>
            <w:r w:rsidR="00867D4C">
              <w:rPr>
                <w:sz w:val="22"/>
              </w:rPr>
              <w:t>capped</w:t>
            </w:r>
            <w:r w:rsidR="0091534E" w:rsidRPr="00935925">
              <w:rPr>
                <w:sz w:val="22"/>
              </w:rPr>
              <w:t xml:space="preserve"> first lien security interest on the Collateral Package, subject only to </w:t>
            </w:r>
            <w:r w:rsidR="00940DB0" w:rsidRPr="00935925">
              <w:rPr>
                <w:sz w:val="22"/>
              </w:rPr>
              <w:t>(</w:t>
            </w:r>
            <w:proofErr w:type="spellStart"/>
            <w:r w:rsidR="00940DB0" w:rsidRPr="00935925">
              <w:rPr>
                <w:sz w:val="22"/>
              </w:rPr>
              <w:t>i</w:t>
            </w:r>
            <w:proofErr w:type="spellEnd"/>
            <w:r w:rsidR="00940DB0" w:rsidRPr="00935925">
              <w:rPr>
                <w:sz w:val="22"/>
              </w:rPr>
              <w:t xml:space="preserve">) </w:t>
            </w:r>
            <w:r w:rsidR="0091534E" w:rsidRPr="00935925">
              <w:rPr>
                <w:sz w:val="22"/>
              </w:rPr>
              <w:t>standard permitted liens</w:t>
            </w:r>
            <w:r w:rsidR="004C7986">
              <w:rPr>
                <w:sz w:val="22"/>
              </w:rPr>
              <w:t xml:space="preserve">, (ii) </w:t>
            </w:r>
            <w:proofErr w:type="spellStart"/>
            <w:r w:rsidR="004C7986" w:rsidRPr="00935925">
              <w:rPr>
                <w:sz w:val="22"/>
              </w:rPr>
              <w:t>pari</w:t>
            </w:r>
            <w:proofErr w:type="spellEnd"/>
            <w:r w:rsidR="004C7986" w:rsidRPr="00935925">
              <w:rPr>
                <w:sz w:val="22"/>
              </w:rPr>
              <w:t xml:space="preserve"> </w:t>
            </w:r>
            <w:proofErr w:type="spellStart"/>
            <w:r w:rsidR="004C7986" w:rsidRPr="00935925">
              <w:rPr>
                <w:sz w:val="22"/>
              </w:rPr>
              <w:t>passu</w:t>
            </w:r>
            <w:proofErr w:type="spellEnd"/>
            <w:r w:rsidR="004C7986" w:rsidRPr="00935925">
              <w:rPr>
                <w:sz w:val="22"/>
              </w:rPr>
              <w:t xml:space="preserve"> shared first liens on the Collateral Package securing</w:t>
            </w:r>
            <w:r w:rsidR="004C7986">
              <w:rPr>
                <w:sz w:val="22"/>
              </w:rPr>
              <w:t xml:space="preserve"> senior </w:t>
            </w:r>
            <w:r w:rsidR="00A77877">
              <w:rPr>
                <w:sz w:val="22"/>
              </w:rPr>
              <w:t>creditors</w:t>
            </w:r>
            <w:r w:rsidR="004C7986">
              <w:rPr>
                <w:sz w:val="22"/>
              </w:rPr>
              <w:t>,</w:t>
            </w:r>
            <w:r w:rsidR="00324309" w:rsidRPr="00935925">
              <w:rPr>
                <w:sz w:val="22"/>
              </w:rPr>
              <w:t xml:space="preserve"> and </w:t>
            </w:r>
            <w:r w:rsidR="00940DB0" w:rsidRPr="00935925">
              <w:rPr>
                <w:sz w:val="22"/>
              </w:rPr>
              <w:t>(i</w:t>
            </w:r>
            <w:r w:rsidR="004C7986">
              <w:rPr>
                <w:sz w:val="22"/>
              </w:rPr>
              <w:t>i</w:t>
            </w:r>
            <w:r w:rsidR="00940DB0" w:rsidRPr="00935925">
              <w:rPr>
                <w:sz w:val="22"/>
              </w:rPr>
              <w:t xml:space="preserve">i) </w:t>
            </w:r>
            <w:r w:rsidR="00D15CEC">
              <w:rPr>
                <w:sz w:val="22"/>
              </w:rPr>
              <w:t>Approved Hedges</w:t>
            </w:r>
            <w:r w:rsidR="00324309" w:rsidRPr="00935925">
              <w:rPr>
                <w:sz w:val="22"/>
              </w:rPr>
              <w:t>, subject to the terms of the Post</w:t>
            </w:r>
            <w:r w:rsidR="005905AE">
              <w:rPr>
                <w:sz w:val="22"/>
              </w:rPr>
              <w:t>-</w:t>
            </w:r>
            <w:r w:rsidR="00324309" w:rsidRPr="00935925">
              <w:rPr>
                <w:sz w:val="22"/>
              </w:rPr>
              <w:t xml:space="preserve">COD </w:t>
            </w:r>
            <w:proofErr w:type="spellStart"/>
            <w:r w:rsidR="00324309" w:rsidRPr="00935925">
              <w:rPr>
                <w:sz w:val="22"/>
              </w:rPr>
              <w:t>Intercreditor</w:t>
            </w:r>
            <w:proofErr w:type="spellEnd"/>
            <w:r w:rsidR="00324309" w:rsidRPr="00935925">
              <w:rPr>
                <w:sz w:val="22"/>
              </w:rPr>
              <w:t xml:space="preserve"> described below</w:t>
            </w:r>
            <w:r w:rsidR="00816786" w:rsidRPr="00935925">
              <w:rPr>
                <w:sz w:val="22"/>
              </w:rPr>
              <w:t>.</w:t>
            </w:r>
          </w:p>
          <w:p w:rsidR="0091534E" w:rsidRPr="00935925" w:rsidRDefault="004C7986" w:rsidP="00FF3DE3">
            <w:pPr>
              <w:jc w:val="both"/>
              <w:rPr>
                <w:sz w:val="22"/>
              </w:rPr>
            </w:pPr>
            <w:r>
              <w:rPr>
                <w:sz w:val="22"/>
              </w:rPr>
              <w:t xml:space="preserve">Buyer will continue to have </w:t>
            </w:r>
            <w:r w:rsidR="00B0248A">
              <w:rPr>
                <w:sz w:val="22"/>
              </w:rPr>
              <w:t xml:space="preserve">a </w:t>
            </w:r>
            <w:r w:rsidR="00B0248A" w:rsidRPr="00935925">
              <w:rPr>
                <w:sz w:val="22"/>
              </w:rPr>
              <w:t>second lien security interest</w:t>
            </w:r>
            <w:r w:rsidR="00B0248A">
              <w:rPr>
                <w:sz w:val="22"/>
              </w:rPr>
              <w:t xml:space="preserve"> in the Collateral Package (as described above) following COD.</w:t>
            </w:r>
          </w:p>
        </w:tc>
      </w:tr>
      <w:tr w:rsidR="00F2359F" w:rsidRPr="00935925" w:rsidTr="00404757">
        <w:tblPrEx>
          <w:tblCellMar>
            <w:left w:w="108" w:type="dxa"/>
            <w:right w:w="108" w:type="dxa"/>
          </w:tblCellMar>
          <w:tblLook w:val="00A0"/>
        </w:tblPrEx>
        <w:tc>
          <w:tcPr>
            <w:tcW w:w="3061" w:type="dxa"/>
          </w:tcPr>
          <w:p w:rsidR="00F2359F" w:rsidRPr="00935925" w:rsidRDefault="00324309" w:rsidP="00056DCF">
            <w:pPr>
              <w:rPr>
                <w:b/>
                <w:sz w:val="22"/>
              </w:rPr>
            </w:pPr>
            <w:r w:rsidRPr="00935925">
              <w:rPr>
                <w:b/>
                <w:sz w:val="22"/>
              </w:rPr>
              <w:t>Pre</w:t>
            </w:r>
            <w:r w:rsidR="00A1114A">
              <w:rPr>
                <w:b/>
                <w:sz w:val="22"/>
              </w:rPr>
              <w:t>-</w:t>
            </w:r>
            <w:r w:rsidRPr="00935925">
              <w:rPr>
                <w:b/>
                <w:sz w:val="22"/>
              </w:rPr>
              <w:t xml:space="preserve">COD </w:t>
            </w:r>
            <w:proofErr w:type="spellStart"/>
            <w:r w:rsidR="00F2359F" w:rsidRPr="00935925">
              <w:rPr>
                <w:b/>
                <w:sz w:val="22"/>
              </w:rPr>
              <w:t>Intercreditor</w:t>
            </w:r>
            <w:proofErr w:type="spellEnd"/>
          </w:p>
        </w:tc>
        <w:tc>
          <w:tcPr>
            <w:tcW w:w="6530" w:type="dxa"/>
            <w:gridSpan w:val="2"/>
          </w:tcPr>
          <w:p w:rsidR="00F2359F" w:rsidRPr="00935925" w:rsidRDefault="00F2359F" w:rsidP="00404757">
            <w:pPr>
              <w:jc w:val="both"/>
              <w:rPr>
                <w:sz w:val="22"/>
              </w:rPr>
            </w:pPr>
            <w:r w:rsidRPr="00935925">
              <w:rPr>
                <w:sz w:val="22"/>
              </w:rPr>
              <w:t xml:space="preserve">Buyer’s rights as a second lien holder </w:t>
            </w:r>
            <w:r w:rsidR="00940DB0" w:rsidRPr="00935925">
              <w:rPr>
                <w:sz w:val="22"/>
              </w:rPr>
              <w:t>prior to COD shall</w:t>
            </w:r>
            <w:r w:rsidRPr="00935925">
              <w:rPr>
                <w:sz w:val="22"/>
              </w:rPr>
              <w:t xml:space="preserve"> be subject to customary </w:t>
            </w:r>
            <w:proofErr w:type="spellStart"/>
            <w:r w:rsidRPr="00935925">
              <w:rPr>
                <w:sz w:val="22"/>
              </w:rPr>
              <w:t>intercreditor</w:t>
            </w:r>
            <w:proofErr w:type="spellEnd"/>
            <w:r w:rsidRPr="00935925">
              <w:rPr>
                <w:sz w:val="22"/>
              </w:rPr>
              <w:t xml:space="preserve"> limitations and cure rights to be negotiated between Buyer and relevant creditors in good faith, provided that such right</w:t>
            </w:r>
            <w:r w:rsidR="009F2A42">
              <w:rPr>
                <w:sz w:val="22"/>
              </w:rPr>
              <w:t>s</w:t>
            </w:r>
            <w:r w:rsidRPr="00935925">
              <w:rPr>
                <w:sz w:val="22"/>
              </w:rPr>
              <w:t xml:space="preserve"> shall include</w:t>
            </w:r>
            <w:r w:rsidR="00056DCF" w:rsidRPr="00935925">
              <w:rPr>
                <w:sz w:val="22"/>
              </w:rPr>
              <w:t>, unless otherwise agreed</w:t>
            </w:r>
            <w:r w:rsidRPr="00935925">
              <w:rPr>
                <w:sz w:val="22"/>
              </w:rPr>
              <w:t>:</w:t>
            </w:r>
          </w:p>
          <w:p w:rsidR="00F2359F" w:rsidRPr="00935925" w:rsidRDefault="00A1114A" w:rsidP="00404757">
            <w:pPr>
              <w:jc w:val="both"/>
              <w:rPr>
                <w:sz w:val="22"/>
              </w:rPr>
            </w:pPr>
            <w:r>
              <w:rPr>
                <w:sz w:val="22"/>
              </w:rPr>
              <w:t>(</w:t>
            </w:r>
            <w:proofErr w:type="spellStart"/>
            <w:r>
              <w:rPr>
                <w:sz w:val="22"/>
              </w:rPr>
              <w:t>i</w:t>
            </w:r>
            <w:proofErr w:type="spellEnd"/>
            <w:r>
              <w:rPr>
                <w:sz w:val="22"/>
              </w:rPr>
              <w:t>) u</w:t>
            </w:r>
            <w:r w:rsidR="00F2359F" w:rsidRPr="00935925">
              <w:rPr>
                <w:sz w:val="22"/>
              </w:rPr>
              <w:t xml:space="preserve">pon an Event of Default or Termination Event under the </w:t>
            </w:r>
            <w:r w:rsidR="00927ABA">
              <w:rPr>
                <w:sz w:val="22"/>
              </w:rPr>
              <w:t>EEI</w:t>
            </w:r>
            <w:r w:rsidR="00F2359F" w:rsidRPr="00935925">
              <w:rPr>
                <w:sz w:val="22"/>
              </w:rPr>
              <w:t xml:space="preserve">, Buyer shall be allowed to terminate the </w:t>
            </w:r>
            <w:r w:rsidR="00F37A5D" w:rsidRPr="00935925">
              <w:rPr>
                <w:sz w:val="22"/>
              </w:rPr>
              <w:t>Transaction</w:t>
            </w:r>
            <w:r w:rsidR="00F2359F" w:rsidRPr="00935925">
              <w:rPr>
                <w:sz w:val="22"/>
              </w:rPr>
              <w:t>, subject only to the Consent Restrictions described below</w:t>
            </w:r>
            <w:r>
              <w:rPr>
                <w:sz w:val="22"/>
              </w:rPr>
              <w:t>;</w:t>
            </w:r>
          </w:p>
          <w:p w:rsidR="00F2359F" w:rsidRPr="00935925" w:rsidRDefault="00A1114A" w:rsidP="00404757">
            <w:pPr>
              <w:jc w:val="both"/>
              <w:rPr>
                <w:sz w:val="22"/>
              </w:rPr>
            </w:pPr>
            <w:r>
              <w:rPr>
                <w:sz w:val="22"/>
              </w:rPr>
              <w:t>(ii) f</w:t>
            </w:r>
            <w:r w:rsidR="00F2359F" w:rsidRPr="00935925">
              <w:rPr>
                <w:sz w:val="22"/>
              </w:rPr>
              <w:t xml:space="preserve">ollowing termination, Buyer’s rights to apply cash and </w:t>
            </w:r>
            <w:r>
              <w:rPr>
                <w:sz w:val="22"/>
              </w:rPr>
              <w:t>l</w:t>
            </w:r>
            <w:r w:rsidR="00F2359F" w:rsidRPr="00935925">
              <w:rPr>
                <w:sz w:val="22"/>
              </w:rPr>
              <w:t xml:space="preserve">etters of </w:t>
            </w:r>
            <w:r>
              <w:rPr>
                <w:sz w:val="22"/>
              </w:rPr>
              <w:t>c</w:t>
            </w:r>
            <w:r w:rsidR="00F2359F" w:rsidRPr="00935925">
              <w:rPr>
                <w:sz w:val="22"/>
              </w:rPr>
              <w:t>redit shall not be restricted</w:t>
            </w:r>
            <w:r>
              <w:rPr>
                <w:sz w:val="22"/>
              </w:rPr>
              <w:t>;</w:t>
            </w:r>
          </w:p>
          <w:p w:rsidR="00F2359F" w:rsidRPr="00935925" w:rsidRDefault="009F2A42" w:rsidP="00404757">
            <w:pPr>
              <w:jc w:val="both"/>
              <w:rPr>
                <w:sz w:val="22"/>
              </w:rPr>
            </w:pPr>
            <w:r>
              <w:rPr>
                <w:sz w:val="22"/>
              </w:rPr>
              <w:t xml:space="preserve">(iii) </w:t>
            </w:r>
            <w:r w:rsidR="00F2359F" w:rsidRPr="00935925">
              <w:rPr>
                <w:sz w:val="22"/>
              </w:rPr>
              <w:t xml:space="preserve">Buyer’s rights to enforce the second lien against the Collateral Package will be subject only to the Consent Restrictions </w:t>
            </w:r>
            <w:r w:rsidRPr="009F2A42">
              <w:rPr>
                <w:sz w:val="22"/>
              </w:rPr>
              <w:t xml:space="preserve">described below </w:t>
            </w:r>
            <w:r w:rsidR="00F2359F" w:rsidRPr="00935925">
              <w:rPr>
                <w:sz w:val="22"/>
              </w:rPr>
              <w:t xml:space="preserve">and a </w:t>
            </w:r>
            <w:r w:rsidR="00C860AB">
              <w:rPr>
                <w:sz w:val="22"/>
              </w:rPr>
              <w:t>[</w:t>
            </w:r>
            <w:r w:rsidR="000F542C" w:rsidRPr="00935925">
              <w:rPr>
                <w:sz w:val="22"/>
              </w:rPr>
              <w:t>120</w:t>
            </w:r>
            <w:r w:rsidR="00C860AB">
              <w:rPr>
                <w:sz w:val="22"/>
              </w:rPr>
              <w:t>]</w:t>
            </w:r>
            <w:r w:rsidR="00F2359F" w:rsidRPr="00935925">
              <w:rPr>
                <w:sz w:val="22"/>
              </w:rPr>
              <w:t xml:space="preserve"> day standstill period</w:t>
            </w:r>
            <w:r>
              <w:rPr>
                <w:sz w:val="22"/>
              </w:rPr>
              <w:t>;</w:t>
            </w:r>
          </w:p>
          <w:p w:rsidR="00F2359F" w:rsidRPr="00935925" w:rsidRDefault="009F2A42" w:rsidP="00404757">
            <w:pPr>
              <w:jc w:val="both"/>
              <w:rPr>
                <w:sz w:val="22"/>
              </w:rPr>
            </w:pPr>
            <w:r>
              <w:rPr>
                <w:sz w:val="22"/>
              </w:rPr>
              <w:t xml:space="preserve">(iv) </w:t>
            </w:r>
            <w:r w:rsidR="00F2359F" w:rsidRPr="00935925">
              <w:rPr>
                <w:sz w:val="22"/>
              </w:rPr>
              <w:t xml:space="preserve">Buyer shall not be required to release liens on Collateral Package </w:t>
            </w:r>
            <w:r w:rsidR="00F2359F" w:rsidRPr="00935925">
              <w:rPr>
                <w:sz w:val="22"/>
              </w:rPr>
              <w:lastRenderedPageBreak/>
              <w:t>except in c</w:t>
            </w:r>
            <w:r w:rsidR="00D15CEC">
              <w:rPr>
                <w:sz w:val="22"/>
              </w:rPr>
              <w:t>onnection with (A</w:t>
            </w:r>
            <w:r w:rsidR="00F2359F" w:rsidRPr="00935925">
              <w:rPr>
                <w:sz w:val="22"/>
              </w:rPr>
              <w:t xml:space="preserve">) a foreclosure subject to the requirements of the UCC, bankruptcy, or other applicable law where the proceeds thereof are applied in accordance with an agreed waterfall respecting the first and second liens, </w:t>
            </w:r>
            <w:r>
              <w:rPr>
                <w:sz w:val="22"/>
              </w:rPr>
              <w:t xml:space="preserve">or </w:t>
            </w:r>
            <w:r w:rsidR="00D15CEC">
              <w:rPr>
                <w:sz w:val="22"/>
              </w:rPr>
              <w:t>(B</w:t>
            </w:r>
            <w:r w:rsidR="00F2359F" w:rsidRPr="00935925">
              <w:rPr>
                <w:sz w:val="22"/>
              </w:rPr>
              <w:t xml:space="preserve">) disposition </w:t>
            </w:r>
            <w:r>
              <w:rPr>
                <w:sz w:val="22"/>
              </w:rPr>
              <w:t xml:space="preserve">or other release of assets in the Collateral Package </w:t>
            </w:r>
            <w:r w:rsidR="00D15CEC">
              <w:rPr>
                <w:sz w:val="22"/>
              </w:rPr>
              <w:t>as permitted</w:t>
            </w:r>
            <w:r>
              <w:rPr>
                <w:sz w:val="22"/>
              </w:rPr>
              <w:t xml:space="preserve"> </w:t>
            </w:r>
            <w:r w:rsidR="00D15CEC">
              <w:rPr>
                <w:sz w:val="22"/>
              </w:rPr>
              <w:t>under</w:t>
            </w:r>
            <w:r>
              <w:rPr>
                <w:sz w:val="22"/>
              </w:rPr>
              <w:t xml:space="preserve"> the senior financing documents; </w:t>
            </w:r>
          </w:p>
          <w:p w:rsidR="00F2359F" w:rsidRPr="00935925" w:rsidRDefault="009F2A42" w:rsidP="00404757">
            <w:pPr>
              <w:jc w:val="both"/>
              <w:rPr>
                <w:sz w:val="22"/>
              </w:rPr>
            </w:pPr>
            <w:r>
              <w:rPr>
                <w:sz w:val="22"/>
              </w:rPr>
              <w:t xml:space="preserve">(v) </w:t>
            </w:r>
            <w:r w:rsidR="00F2359F" w:rsidRPr="00935925">
              <w:rPr>
                <w:sz w:val="22"/>
              </w:rPr>
              <w:t>Buyer shall have the right to purchase the first lien obligations at par without premium prior to any exercise of remedies on the Collateral Package</w:t>
            </w:r>
            <w:r w:rsidR="00DE4794">
              <w:rPr>
                <w:sz w:val="22"/>
              </w:rPr>
              <w:t>, including all related fees, accrued interest and breakage costs</w:t>
            </w:r>
            <w:r>
              <w:rPr>
                <w:sz w:val="22"/>
              </w:rPr>
              <w:t>; and</w:t>
            </w:r>
          </w:p>
          <w:p w:rsidR="005C352F" w:rsidRPr="00935925" w:rsidRDefault="009F2A42" w:rsidP="0079322B">
            <w:pPr>
              <w:jc w:val="both"/>
              <w:rPr>
                <w:sz w:val="22"/>
              </w:rPr>
            </w:pPr>
            <w:r>
              <w:rPr>
                <w:sz w:val="22"/>
              </w:rPr>
              <w:t xml:space="preserve">(vi) </w:t>
            </w:r>
            <w:r w:rsidR="00F2359F" w:rsidRPr="00935925">
              <w:rPr>
                <w:sz w:val="22"/>
              </w:rPr>
              <w:t xml:space="preserve">Buyer shall retain its rights as a secured creditor in bankruptcy, subject to </w:t>
            </w:r>
            <w:r w:rsidR="0079322B" w:rsidRPr="00935925">
              <w:rPr>
                <w:sz w:val="22"/>
              </w:rPr>
              <w:t xml:space="preserve">agreed </w:t>
            </w:r>
            <w:r w:rsidR="00F2359F" w:rsidRPr="00935925">
              <w:rPr>
                <w:sz w:val="22"/>
              </w:rPr>
              <w:t>upon restrictions regarding adequate protection, use of cash collateral, DIP financing, and similar customary matters.</w:t>
            </w:r>
          </w:p>
        </w:tc>
      </w:tr>
      <w:tr w:rsidR="00324309" w:rsidRPr="00935925" w:rsidTr="00404757">
        <w:tblPrEx>
          <w:tblCellMar>
            <w:left w:w="108" w:type="dxa"/>
            <w:right w:w="108" w:type="dxa"/>
          </w:tblCellMar>
          <w:tblLook w:val="00A0"/>
        </w:tblPrEx>
        <w:tc>
          <w:tcPr>
            <w:tcW w:w="3061" w:type="dxa"/>
          </w:tcPr>
          <w:p w:rsidR="00324309" w:rsidRPr="00935925" w:rsidRDefault="00324309" w:rsidP="00324309">
            <w:pPr>
              <w:rPr>
                <w:b/>
                <w:sz w:val="22"/>
              </w:rPr>
            </w:pPr>
            <w:r w:rsidRPr="00935925">
              <w:rPr>
                <w:b/>
                <w:sz w:val="22"/>
              </w:rPr>
              <w:lastRenderedPageBreak/>
              <w:t>Post</w:t>
            </w:r>
            <w:r w:rsidR="009F2A42">
              <w:rPr>
                <w:b/>
                <w:sz w:val="22"/>
              </w:rPr>
              <w:t>-</w:t>
            </w:r>
            <w:r w:rsidRPr="00935925">
              <w:rPr>
                <w:b/>
                <w:sz w:val="22"/>
              </w:rPr>
              <w:t xml:space="preserve">COD </w:t>
            </w:r>
            <w:proofErr w:type="spellStart"/>
            <w:r w:rsidRPr="00935925">
              <w:rPr>
                <w:b/>
                <w:sz w:val="22"/>
              </w:rPr>
              <w:t>Intercreditor</w:t>
            </w:r>
            <w:proofErr w:type="spellEnd"/>
          </w:p>
        </w:tc>
        <w:tc>
          <w:tcPr>
            <w:tcW w:w="6530" w:type="dxa"/>
            <w:gridSpan w:val="2"/>
          </w:tcPr>
          <w:p w:rsidR="003E4922" w:rsidRPr="00935925" w:rsidRDefault="003E4922" w:rsidP="003E4922">
            <w:pPr>
              <w:jc w:val="both"/>
              <w:rPr>
                <w:sz w:val="22"/>
              </w:rPr>
            </w:pPr>
            <w:r w:rsidRPr="00935925">
              <w:rPr>
                <w:sz w:val="22"/>
              </w:rPr>
              <w:t xml:space="preserve">Buyer’s rights as a first lien holder </w:t>
            </w:r>
            <w:r w:rsidR="00035169" w:rsidRPr="00935925">
              <w:rPr>
                <w:sz w:val="22"/>
              </w:rPr>
              <w:t xml:space="preserve">after COD shall </w:t>
            </w:r>
            <w:r w:rsidRPr="00935925">
              <w:rPr>
                <w:sz w:val="22"/>
              </w:rPr>
              <w:t xml:space="preserve">be subject </w:t>
            </w:r>
            <w:r w:rsidR="00940DB0" w:rsidRPr="00935925">
              <w:rPr>
                <w:sz w:val="22"/>
              </w:rPr>
              <w:t xml:space="preserve">only </w:t>
            </w:r>
            <w:r w:rsidRPr="00935925">
              <w:rPr>
                <w:sz w:val="22"/>
              </w:rPr>
              <w:t xml:space="preserve">to </w:t>
            </w:r>
            <w:r w:rsidR="00035169" w:rsidRPr="00935925">
              <w:rPr>
                <w:sz w:val="22"/>
              </w:rPr>
              <w:t xml:space="preserve">a </w:t>
            </w:r>
            <w:r w:rsidRPr="00935925">
              <w:rPr>
                <w:sz w:val="22"/>
              </w:rPr>
              <w:t xml:space="preserve">customary </w:t>
            </w:r>
            <w:r w:rsidR="00035169" w:rsidRPr="00935925">
              <w:rPr>
                <w:sz w:val="22"/>
              </w:rPr>
              <w:t xml:space="preserve">collateral agency and </w:t>
            </w:r>
            <w:proofErr w:type="spellStart"/>
            <w:r w:rsidR="00035169" w:rsidRPr="00935925">
              <w:rPr>
                <w:sz w:val="22"/>
              </w:rPr>
              <w:t>intercreditor</w:t>
            </w:r>
            <w:proofErr w:type="spellEnd"/>
            <w:r w:rsidR="00035169" w:rsidRPr="00935925">
              <w:rPr>
                <w:sz w:val="22"/>
              </w:rPr>
              <w:t xml:space="preserve"> agreement </w:t>
            </w:r>
            <w:r w:rsidR="009F2A42">
              <w:rPr>
                <w:sz w:val="22"/>
              </w:rPr>
              <w:t>(</w:t>
            </w:r>
            <w:r w:rsidR="009F2A42" w:rsidRPr="00935925">
              <w:rPr>
                <w:sz w:val="22"/>
              </w:rPr>
              <w:t>to be negotiated between Seller and Buyer in good faith</w:t>
            </w:r>
            <w:r w:rsidR="009F2A42">
              <w:rPr>
                <w:sz w:val="22"/>
              </w:rPr>
              <w:t>)</w:t>
            </w:r>
            <w:r w:rsidR="009F2A42" w:rsidRPr="00935925">
              <w:rPr>
                <w:sz w:val="22"/>
              </w:rPr>
              <w:t xml:space="preserve"> </w:t>
            </w:r>
            <w:r w:rsidR="00035169" w:rsidRPr="00935925">
              <w:rPr>
                <w:sz w:val="22"/>
              </w:rPr>
              <w:t xml:space="preserve">under which a collateral agent holds the security interests on behalf of </w:t>
            </w:r>
            <w:r w:rsidR="00FF3DE3" w:rsidRPr="00935925">
              <w:rPr>
                <w:sz w:val="22"/>
              </w:rPr>
              <w:t>Buyer</w:t>
            </w:r>
            <w:r w:rsidR="009F2A42">
              <w:rPr>
                <w:sz w:val="22"/>
              </w:rPr>
              <w:t>, the senior creditors</w:t>
            </w:r>
            <w:r w:rsidR="00035169" w:rsidRPr="00935925">
              <w:rPr>
                <w:sz w:val="22"/>
              </w:rPr>
              <w:t xml:space="preserve"> and the counterparties to the Approved Hedges</w:t>
            </w:r>
            <w:r w:rsidRPr="00935925">
              <w:rPr>
                <w:sz w:val="22"/>
              </w:rPr>
              <w:t>, provided that such right</w:t>
            </w:r>
            <w:r w:rsidR="00035169" w:rsidRPr="00935925">
              <w:rPr>
                <w:sz w:val="22"/>
              </w:rPr>
              <w:t>s</w:t>
            </w:r>
            <w:r w:rsidRPr="00935925">
              <w:rPr>
                <w:sz w:val="22"/>
              </w:rPr>
              <w:t xml:space="preserve"> shall include</w:t>
            </w:r>
            <w:r w:rsidR="00056DCF" w:rsidRPr="00935925">
              <w:rPr>
                <w:sz w:val="22"/>
              </w:rPr>
              <w:t>, unless otherwise agreed</w:t>
            </w:r>
            <w:r w:rsidRPr="00935925">
              <w:rPr>
                <w:sz w:val="22"/>
              </w:rPr>
              <w:t>:</w:t>
            </w:r>
          </w:p>
          <w:p w:rsidR="003E4922" w:rsidRPr="00935925" w:rsidRDefault="00A5367E" w:rsidP="003E4922">
            <w:pPr>
              <w:jc w:val="both"/>
              <w:rPr>
                <w:sz w:val="22"/>
              </w:rPr>
            </w:pPr>
            <w:r>
              <w:rPr>
                <w:sz w:val="22"/>
              </w:rPr>
              <w:t>(</w:t>
            </w:r>
            <w:proofErr w:type="spellStart"/>
            <w:r>
              <w:rPr>
                <w:sz w:val="22"/>
              </w:rPr>
              <w:t>i</w:t>
            </w:r>
            <w:proofErr w:type="spellEnd"/>
            <w:r>
              <w:rPr>
                <w:sz w:val="22"/>
              </w:rPr>
              <w:t>) u</w:t>
            </w:r>
            <w:r w:rsidR="003E4922" w:rsidRPr="00935925">
              <w:rPr>
                <w:sz w:val="22"/>
              </w:rPr>
              <w:t xml:space="preserve">pon an Event of Default or Termination Event under the </w:t>
            </w:r>
            <w:r w:rsidR="00927ABA">
              <w:rPr>
                <w:sz w:val="22"/>
              </w:rPr>
              <w:t>EEI</w:t>
            </w:r>
            <w:r w:rsidR="00A833C2">
              <w:rPr>
                <w:sz w:val="22"/>
              </w:rPr>
              <w:t xml:space="preserve"> documentation</w:t>
            </w:r>
            <w:r w:rsidR="003E4922" w:rsidRPr="00935925">
              <w:rPr>
                <w:sz w:val="22"/>
              </w:rPr>
              <w:t>, Buyer shall be allowed to terminate the Transaction</w:t>
            </w:r>
            <w:r>
              <w:rPr>
                <w:sz w:val="22"/>
              </w:rPr>
              <w:t>;</w:t>
            </w:r>
          </w:p>
          <w:p w:rsidR="003E4922" w:rsidRPr="00935925" w:rsidRDefault="00A5367E" w:rsidP="003E4922">
            <w:pPr>
              <w:jc w:val="both"/>
              <w:rPr>
                <w:sz w:val="22"/>
              </w:rPr>
            </w:pPr>
            <w:r>
              <w:rPr>
                <w:sz w:val="22"/>
              </w:rPr>
              <w:t>(ii) f</w:t>
            </w:r>
            <w:r w:rsidR="003E4922" w:rsidRPr="00935925">
              <w:rPr>
                <w:sz w:val="22"/>
              </w:rPr>
              <w:t xml:space="preserve">ollowing termination, Buyer’s rights to apply cash and </w:t>
            </w:r>
            <w:r>
              <w:rPr>
                <w:sz w:val="22"/>
              </w:rPr>
              <w:t>l</w:t>
            </w:r>
            <w:r w:rsidR="003E4922" w:rsidRPr="00935925">
              <w:rPr>
                <w:sz w:val="22"/>
              </w:rPr>
              <w:t xml:space="preserve">etters of </w:t>
            </w:r>
            <w:r>
              <w:rPr>
                <w:sz w:val="22"/>
              </w:rPr>
              <w:t>c</w:t>
            </w:r>
            <w:r w:rsidR="003E4922" w:rsidRPr="00935925">
              <w:rPr>
                <w:sz w:val="22"/>
              </w:rPr>
              <w:t>redit shall not be restricted</w:t>
            </w:r>
            <w:r>
              <w:rPr>
                <w:sz w:val="22"/>
              </w:rPr>
              <w:t>;</w:t>
            </w:r>
          </w:p>
          <w:p w:rsidR="003E4922" w:rsidRPr="00935925" w:rsidRDefault="00A5367E" w:rsidP="003E4922">
            <w:pPr>
              <w:jc w:val="both"/>
              <w:rPr>
                <w:sz w:val="22"/>
              </w:rPr>
            </w:pPr>
            <w:r>
              <w:rPr>
                <w:sz w:val="22"/>
              </w:rPr>
              <w:t>(iii) e</w:t>
            </w:r>
            <w:r w:rsidR="005E1117" w:rsidRPr="00935925">
              <w:rPr>
                <w:sz w:val="22"/>
              </w:rPr>
              <w:t xml:space="preserve">nforcement against the </w:t>
            </w:r>
            <w:r w:rsidR="003E4922" w:rsidRPr="00935925">
              <w:rPr>
                <w:sz w:val="22"/>
              </w:rPr>
              <w:t xml:space="preserve">Collateral Package will be subject </w:t>
            </w:r>
            <w:r w:rsidR="005E1117" w:rsidRPr="00935925">
              <w:rPr>
                <w:sz w:val="22"/>
              </w:rPr>
              <w:t xml:space="preserve">to majority voting, provided only that Buyer cannot be restricted beyond </w:t>
            </w:r>
            <w:r w:rsidR="00C860AB">
              <w:rPr>
                <w:sz w:val="22"/>
              </w:rPr>
              <w:t>[</w:t>
            </w:r>
            <w:r w:rsidR="005E1117" w:rsidRPr="00935925">
              <w:rPr>
                <w:sz w:val="22"/>
              </w:rPr>
              <w:t>120</w:t>
            </w:r>
            <w:r w:rsidR="00C860AB">
              <w:rPr>
                <w:sz w:val="22"/>
              </w:rPr>
              <w:t>]</w:t>
            </w:r>
            <w:r w:rsidR="005E1117" w:rsidRPr="00935925">
              <w:rPr>
                <w:sz w:val="22"/>
              </w:rPr>
              <w:t xml:space="preserve"> days of standstill</w:t>
            </w:r>
            <w:r w:rsidR="004769A1">
              <w:rPr>
                <w:sz w:val="22"/>
              </w:rPr>
              <w:t xml:space="preserve"> subject to extension to be agreed</w:t>
            </w:r>
            <w:r>
              <w:rPr>
                <w:sz w:val="22"/>
              </w:rPr>
              <w:t>; and</w:t>
            </w:r>
          </w:p>
          <w:p w:rsidR="00324309" w:rsidRPr="00935925" w:rsidRDefault="00A5367E" w:rsidP="00C1457B">
            <w:pPr>
              <w:jc w:val="both"/>
              <w:rPr>
                <w:sz w:val="22"/>
              </w:rPr>
            </w:pPr>
            <w:r>
              <w:rPr>
                <w:sz w:val="22"/>
              </w:rPr>
              <w:t xml:space="preserve">(iv) </w:t>
            </w:r>
            <w:r w:rsidR="003E4922" w:rsidRPr="00935925">
              <w:rPr>
                <w:sz w:val="22"/>
              </w:rPr>
              <w:t>Buyer shall not be required to release liens on Collateral Pack</w:t>
            </w:r>
            <w:r w:rsidR="00D15CEC">
              <w:rPr>
                <w:sz w:val="22"/>
              </w:rPr>
              <w:t>age except in connection with (A</w:t>
            </w:r>
            <w:r w:rsidR="003E4922" w:rsidRPr="00935925">
              <w:rPr>
                <w:sz w:val="22"/>
              </w:rPr>
              <w:t xml:space="preserve">) a foreclosure subject to the requirements of the UCC, bankruptcy, or other applicable law where the proceeds thereof are applied in accordance with an agreed waterfall respecting the first and second liens, </w:t>
            </w:r>
            <w:r w:rsidR="00D15CEC">
              <w:rPr>
                <w:sz w:val="22"/>
              </w:rPr>
              <w:t>or (B</w:t>
            </w:r>
            <w:r w:rsidRPr="00A5367E">
              <w:rPr>
                <w:sz w:val="22"/>
              </w:rPr>
              <w:t xml:space="preserve">) disposition or other release of assets in the Collateral Package </w:t>
            </w:r>
            <w:r w:rsidR="00D15CEC" w:rsidRPr="00D15CEC">
              <w:rPr>
                <w:sz w:val="22"/>
              </w:rPr>
              <w:t>as permitted under the senior financing documents</w:t>
            </w:r>
            <w:r w:rsidR="003E4922" w:rsidRPr="00935925">
              <w:rPr>
                <w:sz w:val="22"/>
              </w:rPr>
              <w:t>.</w:t>
            </w:r>
          </w:p>
        </w:tc>
      </w:tr>
      <w:tr w:rsidR="00A5367E" w:rsidRPr="00935925" w:rsidTr="00404757">
        <w:tblPrEx>
          <w:tblCellMar>
            <w:left w:w="108" w:type="dxa"/>
            <w:right w:w="108" w:type="dxa"/>
          </w:tblCellMar>
          <w:tblLook w:val="00A0"/>
        </w:tblPrEx>
        <w:tc>
          <w:tcPr>
            <w:tcW w:w="3061" w:type="dxa"/>
          </w:tcPr>
          <w:p w:rsidR="00A5367E" w:rsidRPr="00935925" w:rsidRDefault="00A5367E" w:rsidP="00324309">
            <w:pPr>
              <w:rPr>
                <w:b/>
                <w:sz w:val="22"/>
              </w:rPr>
            </w:pPr>
            <w:r>
              <w:rPr>
                <w:b/>
                <w:sz w:val="22"/>
              </w:rPr>
              <w:t xml:space="preserve">Third Lien </w:t>
            </w:r>
            <w:proofErr w:type="spellStart"/>
            <w:r w:rsidR="00783AA4">
              <w:rPr>
                <w:b/>
                <w:sz w:val="22"/>
              </w:rPr>
              <w:t>Intercreditor</w:t>
            </w:r>
            <w:proofErr w:type="spellEnd"/>
          </w:p>
        </w:tc>
        <w:tc>
          <w:tcPr>
            <w:tcW w:w="6530" w:type="dxa"/>
            <w:gridSpan w:val="2"/>
          </w:tcPr>
          <w:p w:rsidR="00A5367E" w:rsidRPr="00935925" w:rsidRDefault="00A5367E" w:rsidP="00A77877">
            <w:pPr>
              <w:jc w:val="both"/>
              <w:rPr>
                <w:sz w:val="22"/>
              </w:rPr>
            </w:pPr>
            <w:r>
              <w:rPr>
                <w:sz w:val="22"/>
              </w:rPr>
              <w:t xml:space="preserve">The Collateral Package will also be subject to a third priority lien held by one or more third-party </w:t>
            </w:r>
            <w:proofErr w:type="spellStart"/>
            <w:r>
              <w:rPr>
                <w:sz w:val="22"/>
              </w:rPr>
              <w:t>offtakers</w:t>
            </w:r>
            <w:proofErr w:type="spellEnd"/>
            <w:r>
              <w:rPr>
                <w:sz w:val="22"/>
              </w:rPr>
              <w:t xml:space="preserve">. Such </w:t>
            </w:r>
            <w:proofErr w:type="spellStart"/>
            <w:r>
              <w:rPr>
                <w:sz w:val="22"/>
              </w:rPr>
              <w:t>offtakers</w:t>
            </w:r>
            <w:proofErr w:type="spellEnd"/>
            <w:r>
              <w:rPr>
                <w:sz w:val="22"/>
              </w:rPr>
              <w:t>’ rights as third</w:t>
            </w:r>
            <w:r w:rsidRPr="00935925">
              <w:rPr>
                <w:sz w:val="22"/>
              </w:rPr>
              <w:t xml:space="preserve"> lien holder</w:t>
            </w:r>
            <w:r>
              <w:rPr>
                <w:sz w:val="22"/>
              </w:rPr>
              <w:t>s</w:t>
            </w:r>
            <w:r w:rsidR="00A77877">
              <w:rPr>
                <w:sz w:val="22"/>
              </w:rPr>
              <w:t>,</w:t>
            </w:r>
            <w:r w:rsidRPr="00935925">
              <w:rPr>
                <w:sz w:val="22"/>
              </w:rPr>
              <w:t xml:space="preserve"> </w:t>
            </w:r>
            <w:r>
              <w:rPr>
                <w:sz w:val="22"/>
              </w:rPr>
              <w:t>both prior to and after</w:t>
            </w:r>
            <w:r w:rsidRPr="00935925">
              <w:rPr>
                <w:sz w:val="22"/>
              </w:rPr>
              <w:t xml:space="preserve"> COD</w:t>
            </w:r>
            <w:r w:rsidR="00A77877">
              <w:rPr>
                <w:sz w:val="22"/>
              </w:rPr>
              <w:t>,</w:t>
            </w:r>
            <w:r w:rsidRPr="00935925">
              <w:rPr>
                <w:sz w:val="22"/>
              </w:rPr>
              <w:t xml:space="preserve"> shall be subject to customary </w:t>
            </w:r>
            <w:proofErr w:type="spellStart"/>
            <w:r w:rsidRPr="00935925">
              <w:rPr>
                <w:sz w:val="22"/>
              </w:rPr>
              <w:t>intercreditor</w:t>
            </w:r>
            <w:proofErr w:type="spellEnd"/>
            <w:r w:rsidRPr="00935925">
              <w:rPr>
                <w:sz w:val="22"/>
              </w:rPr>
              <w:t xml:space="preserve"> limitations </w:t>
            </w:r>
            <w:r w:rsidR="00783AA4">
              <w:rPr>
                <w:sz w:val="22"/>
              </w:rPr>
              <w:t>(including, for the avoidance of doubt, subordination</w:t>
            </w:r>
            <w:r w:rsidR="00A77877">
              <w:rPr>
                <w:sz w:val="22"/>
              </w:rPr>
              <w:t xml:space="preserve"> to the first and second liens</w:t>
            </w:r>
            <w:r w:rsidR="00783AA4">
              <w:rPr>
                <w:sz w:val="22"/>
              </w:rPr>
              <w:t xml:space="preserve">) </w:t>
            </w:r>
            <w:r w:rsidRPr="00935925">
              <w:rPr>
                <w:sz w:val="22"/>
              </w:rPr>
              <w:t xml:space="preserve">and cure rights to be </w:t>
            </w:r>
            <w:r w:rsidRPr="00935925">
              <w:rPr>
                <w:sz w:val="22"/>
              </w:rPr>
              <w:lastRenderedPageBreak/>
              <w:t xml:space="preserve">negotiated between Buyer and </w:t>
            </w:r>
            <w:r w:rsidR="00783AA4">
              <w:rPr>
                <w:sz w:val="22"/>
              </w:rPr>
              <w:t xml:space="preserve">the </w:t>
            </w:r>
            <w:r w:rsidRPr="00935925">
              <w:rPr>
                <w:sz w:val="22"/>
              </w:rPr>
              <w:t xml:space="preserve">relevant </w:t>
            </w:r>
            <w:proofErr w:type="spellStart"/>
            <w:r w:rsidR="00783AA4">
              <w:rPr>
                <w:sz w:val="22"/>
              </w:rPr>
              <w:t>offtakers</w:t>
            </w:r>
            <w:proofErr w:type="spellEnd"/>
            <w:r w:rsidRPr="00935925">
              <w:rPr>
                <w:sz w:val="22"/>
              </w:rPr>
              <w:t xml:space="preserve"> in good faith</w:t>
            </w:r>
            <w:r w:rsidR="00783AA4">
              <w:rPr>
                <w:sz w:val="22"/>
              </w:rPr>
              <w:t>.</w:t>
            </w:r>
          </w:p>
        </w:tc>
      </w:tr>
      <w:tr w:rsidR="00F2359F" w:rsidRPr="00935925" w:rsidTr="00404757">
        <w:tblPrEx>
          <w:tblCellMar>
            <w:left w:w="108" w:type="dxa"/>
            <w:right w:w="108" w:type="dxa"/>
          </w:tblCellMar>
          <w:tblLook w:val="00A0"/>
        </w:tblPrEx>
        <w:tc>
          <w:tcPr>
            <w:tcW w:w="3061" w:type="dxa"/>
          </w:tcPr>
          <w:p w:rsidR="00F2359F" w:rsidRPr="00935925" w:rsidRDefault="00F2359F" w:rsidP="00404757">
            <w:pPr>
              <w:rPr>
                <w:b/>
                <w:sz w:val="22"/>
              </w:rPr>
            </w:pPr>
            <w:r w:rsidRPr="00935925">
              <w:rPr>
                <w:b/>
                <w:sz w:val="22"/>
              </w:rPr>
              <w:lastRenderedPageBreak/>
              <w:t>Consent Restrictions</w:t>
            </w:r>
          </w:p>
          <w:p w:rsidR="00F2359F" w:rsidRPr="00935925" w:rsidRDefault="00F2359F" w:rsidP="00404757">
            <w:pPr>
              <w:rPr>
                <w:b/>
                <w:sz w:val="22"/>
              </w:rPr>
            </w:pPr>
          </w:p>
        </w:tc>
        <w:tc>
          <w:tcPr>
            <w:tcW w:w="6530" w:type="dxa"/>
            <w:gridSpan w:val="2"/>
          </w:tcPr>
          <w:p w:rsidR="00F2359F" w:rsidRPr="00935925" w:rsidRDefault="00F2359F" w:rsidP="00404757">
            <w:pPr>
              <w:jc w:val="both"/>
              <w:rPr>
                <w:sz w:val="22"/>
              </w:rPr>
            </w:pPr>
            <w:r w:rsidRPr="00935925">
              <w:rPr>
                <w:sz w:val="22"/>
              </w:rPr>
              <w:t xml:space="preserve">Customary cure rights for </w:t>
            </w:r>
            <w:r w:rsidR="00A5367E">
              <w:rPr>
                <w:sz w:val="22"/>
              </w:rPr>
              <w:t>senior creditors</w:t>
            </w:r>
            <w:r w:rsidRPr="00935925">
              <w:rPr>
                <w:sz w:val="22"/>
              </w:rPr>
              <w:t xml:space="preserve"> to be agreed by Seller and Buyer in good faith.</w:t>
            </w:r>
            <w:r w:rsidR="00056DCF" w:rsidRPr="00935925">
              <w:rPr>
                <w:sz w:val="22"/>
              </w:rPr>
              <w:t xml:space="preserve">  </w:t>
            </w:r>
          </w:p>
          <w:p w:rsidR="00A77877" w:rsidRDefault="00A77877" w:rsidP="00404757">
            <w:pPr>
              <w:jc w:val="both"/>
              <w:rPr>
                <w:sz w:val="22"/>
              </w:rPr>
            </w:pPr>
            <w:r>
              <w:rPr>
                <w:sz w:val="22"/>
                <w:u w:val="single"/>
              </w:rPr>
              <w:t>Senior Creditor</w:t>
            </w:r>
            <w:r w:rsidR="00F2359F" w:rsidRPr="00935925">
              <w:rPr>
                <w:sz w:val="22"/>
                <w:u w:val="single"/>
              </w:rPr>
              <w:t xml:space="preserve"> Cure Rights</w:t>
            </w:r>
            <w:r>
              <w:rPr>
                <w:sz w:val="22"/>
                <w:u w:val="single"/>
              </w:rPr>
              <w:t>:</w:t>
            </w:r>
          </w:p>
          <w:p w:rsidR="00F2359F" w:rsidRPr="00935925" w:rsidRDefault="00F2359F" w:rsidP="00404757">
            <w:pPr>
              <w:jc w:val="both"/>
              <w:rPr>
                <w:sz w:val="22"/>
              </w:rPr>
            </w:pPr>
            <w:r w:rsidRPr="00935925">
              <w:rPr>
                <w:sz w:val="22"/>
              </w:rPr>
              <w:t xml:space="preserve">The </w:t>
            </w:r>
            <w:r w:rsidR="00783AA4">
              <w:rPr>
                <w:sz w:val="22"/>
              </w:rPr>
              <w:t>senior creditors</w:t>
            </w:r>
            <w:r w:rsidRPr="00935925">
              <w:rPr>
                <w:sz w:val="22"/>
              </w:rPr>
              <w:t xml:space="preserve"> shall receive notices of defaults and have rights to cure defaults, after applicable cure periods in the Agreement, if any, as follows: (</w:t>
            </w:r>
            <w:proofErr w:type="spellStart"/>
            <w:r w:rsidRPr="00935925">
              <w:rPr>
                <w:sz w:val="22"/>
              </w:rPr>
              <w:t>i</w:t>
            </w:r>
            <w:proofErr w:type="spellEnd"/>
            <w:r w:rsidRPr="00935925">
              <w:rPr>
                <w:sz w:val="22"/>
              </w:rPr>
              <w:t xml:space="preserve">) for payment defaults, </w:t>
            </w:r>
            <w:r w:rsidR="004769A1">
              <w:rPr>
                <w:sz w:val="22"/>
              </w:rPr>
              <w:t>[</w:t>
            </w:r>
            <w:r w:rsidR="004626E8" w:rsidRPr="00935925">
              <w:rPr>
                <w:sz w:val="22"/>
              </w:rPr>
              <w:t>15</w:t>
            </w:r>
            <w:r w:rsidR="004769A1">
              <w:rPr>
                <w:sz w:val="22"/>
              </w:rPr>
              <w:t>]</w:t>
            </w:r>
            <w:r w:rsidRPr="00935925">
              <w:rPr>
                <w:sz w:val="22"/>
              </w:rPr>
              <w:t xml:space="preserve"> days; (ii) for non-bankruptcy non-payment defaults, </w:t>
            </w:r>
            <w:r w:rsidR="004769A1">
              <w:rPr>
                <w:sz w:val="22"/>
              </w:rPr>
              <w:t>[</w:t>
            </w:r>
            <w:r w:rsidR="004626E8" w:rsidRPr="00935925">
              <w:rPr>
                <w:sz w:val="22"/>
              </w:rPr>
              <w:t>45</w:t>
            </w:r>
            <w:r w:rsidR="004769A1">
              <w:rPr>
                <w:sz w:val="22"/>
              </w:rPr>
              <w:t>]</w:t>
            </w:r>
            <w:r w:rsidRPr="00935925">
              <w:rPr>
                <w:sz w:val="22"/>
              </w:rPr>
              <w:t xml:space="preserve"> days, with the possibility of an additional extension of up to </w:t>
            </w:r>
            <w:r w:rsidR="004769A1">
              <w:rPr>
                <w:sz w:val="22"/>
              </w:rPr>
              <w:t>[</w:t>
            </w:r>
            <w:r w:rsidRPr="00935925">
              <w:rPr>
                <w:sz w:val="22"/>
              </w:rPr>
              <w:t>30</w:t>
            </w:r>
            <w:r w:rsidR="004769A1">
              <w:rPr>
                <w:sz w:val="22"/>
              </w:rPr>
              <w:t>]</w:t>
            </w:r>
            <w:r w:rsidRPr="00935925">
              <w:rPr>
                <w:sz w:val="22"/>
              </w:rPr>
              <w:t xml:space="preserve"> days if cure is being effected; and (iii) for a bankruptcy event, </w:t>
            </w:r>
            <w:r w:rsidR="004769A1">
              <w:rPr>
                <w:sz w:val="22"/>
              </w:rPr>
              <w:t>[</w:t>
            </w:r>
            <w:r w:rsidR="00236A99" w:rsidRPr="00935925">
              <w:rPr>
                <w:sz w:val="22"/>
              </w:rPr>
              <w:t>15</w:t>
            </w:r>
            <w:r w:rsidR="004769A1">
              <w:rPr>
                <w:sz w:val="22"/>
              </w:rPr>
              <w:t>]</w:t>
            </w:r>
            <w:r w:rsidR="004626E8" w:rsidRPr="00935925">
              <w:rPr>
                <w:sz w:val="22"/>
              </w:rPr>
              <w:t xml:space="preserve"> days (or </w:t>
            </w:r>
            <w:r w:rsidR="004769A1">
              <w:rPr>
                <w:sz w:val="22"/>
              </w:rPr>
              <w:t>[</w:t>
            </w:r>
            <w:r w:rsidR="004626E8" w:rsidRPr="00935925">
              <w:rPr>
                <w:sz w:val="22"/>
              </w:rPr>
              <w:t>zero</w:t>
            </w:r>
            <w:r w:rsidR="004769A1">
              <w:rPr>
                <w:sz w:val="22"/>
              </w:rPr>
              <w:t>]</w:t>
            </w:r>
            <w:r w:rsidR="004626E8" w:rsidRPr="00935925">
              <w:rPr>
                <w:sz w:val="22"/>
              </w:rPr>
              <w:t xml:space="preserve"> days</w:t>
            </w:r>
            <w:r w:rsidRPr="00935925">
              <w:rPr>
                <w:sz w:val="22"/>
              </w:rPr>
              <w:t xml:space="preserve"> </w:t>
            </w:r>
            <w:r w:rsidR="004626E8" w:rsidRPr="00935925">
              <w:rPr>
                <w:sz w:val="22"/>
              </w:rPr>
              <w:t>for bankruptcy liquidation)</w:t>
            </w:r>
            <w:r w:rsidRPr="00935925">
              <w:rPr>
                <w:sz w:val="22"/>
              </w:rPr>
              <w:t xml:space="preserve">.  Prior to Buyer terminating and exercising remedies, </w:t>
            </w:r>
            <w:r w:rsidR="00783AA4">
              <w:rPr>
                <w:sz w:val="22"/>
              </w:rPr>
              <w:t>senior creditors</w:t>
            </w:r>
            <w:r w:rsidRPr="00935925">
              <w:rPr>
                <w:sz w:val="22"/>
              </w:rPr>
              <w:t xml:space="preserve"> shall </w:t>
            </w:r>
            <w:r w:rsidRPr="005C3699">
              <w:rPr>
                <w:sz w:val="22"/>
              </w:rPr>
              <w:t xml:space="preserve">have </w:t>
            </w:r>
            <w:r w:rsidR="00783AA4" w:rsidRPr="005C3699">
              <w:rPr>
                <w:sz w:val="22"/>
              </w:rPr>
              <w:t xml:space="preserve">the </w:t>
            </w:r>
            <w:r w:rsidRPr="005C3699">
              <w:rPr>
                <w:sz w:val="22"/>
              </w:rPr>
              <w:t xml:space="preserve">right to purchase the </w:t>
            </w:r>
            <w:r w:rsidR="00F37A5D" w:rsidRPr="005C3699">
              <w:rPr>
                <w:sz w:val="22"/>
              </w:rPr>
              <w:t>Transaction</w:t>
            </w:r>
            <w:r w:rsidRPr="005C3699">
              <w:rPr>
                <w:sz w:val="22"/>
              </w:rPr>
              <w:t xml:space="preserve"> from Buyer for Buyer’s Exposure as </w:t>
            </w:r>
            <w:r w:rsidR="005C3699" w:rsidRPr="005C3699">
              <w:rPr>
                <w:sz w:val="22"/>
              </w:rPr>
              <w:t xml:space="preserve">reasonably </w:t>
            </w:r>
            <w:r w:rsidRPr="005C3699">
              <w:rPr>
                <w:sz w:val="22"/>
              </w:rPr>
              <w:t>determined by Buyer as if an Additional Termination Event with respect to Seller existed.</w:t>
            </w:r>
            <w:r w:rsidRPr="00935925">
              <w:rPr>
                <w:sz w:val="22"/>
              </w:rPr>
              <w:t xml:space="preserve">    </w:t>
            </w:r>
          </w:p>
          <w:p w:rsidR="00A77877" w:rsidRDefault="001B35AE" w:rsidP="00404757">
            <w:pPr>
              <w:jc w:val="both"/>
              <w:rPr>
                <w:sz w:val="22"/>
              </w:rPr>
            </w:pPr>
            <w:r>
              <w:rPr>
                <w:sz w:val="22"/>
                <w:u w:val="single"/>
              </w:rPr>
              <w:t>[</w:t>
            </w:r>
            <w:r w:rsidR="00F2359F" w:rsidRPr="00935925">
              <w:rPr>
                <w:sz w:val="22"/>
                <w:u w:val="single"/>
              </w:rPr>
              <w:t>Incremental Exposure</w:t>
            </w:r>
            <w:r w:rsidR="00A77877">
              <w:rPr>
                <w:sz w:val="22"/>
                <w:u w:val="single"/>
              </w:rPr>
              <w:t>:</w:t>
            </w:r>
          </w:p>
          <w:p w:rsidR="00F2359F" w:rsidRPr="00935925" w:rsidRDefault="00F2359F" w:rsidP="00404757">
            <w:pPr>
              <w:jc w:val="both"/>
              <w:rPr>
                <w:sz w:val="22"/>
              </w:rPr>
            </w:pPr>
            <w:r w:rsidRPr="00935925">
              <w:rPr>
                <w:sz w:val="22"/>
              </w:rPr>
              <w:t xml:space="preserve">The rights of the </w:t>
            </w:r>
            <w:r w:rsidR="00783AA4">
              <w:rPr>
                <w:sz w:val="22"/>
              </w:rPr>
              <w:t>senior creditors</w:t>
            </w:r>
            <w:r w:rsidRPr="00935925">
              <w:rPr>
                <w:sz w:val="22"/>
              </w:rPr>
              <w:t xml:space="preserve"> to use the above cure periods shall be conditioned upon their agreement to post acceptable collateral to cover incremental increases in the exposure of Buyer during such cure periods.</w:t>
            </w:r>
            <w:r w:rsidR="001B35AE">
              <w:rPr>
                <w:sz w:val="22"/>
              </w:rPr>
              <w:t>]</w:t>
            </w:r>
            <w:r w:rsidRPr="00935925">
              <w:rPr>
                <w:sz w:val="22"/>
              </w:rPr>
              <w:t xml:space="preserve"> </w:t>
            </w:r>
          </w:p>
        </w:tc>
      </w:tr>
      <w:tr w:rsidR="00F2359F" w:rsidRPr="00935925" w:rsidTr="00404757">
        <w:tblPrEx>
          <w:tblCellMar>
            <w:left w:w="108" w:type="dxa"/>
            <w:right w:w="108" w:type="dxa"/>
          </w:tblCellMar>
          <w:tblLook w:val="00A0"/>
        </w:tblPrEx>
        <w:tc>
          <w:tcPr>
            <w:tcW w:w="3061" w:type="dxa"/>
          </w:tcPr>
          <w:p w:rsidR="00F2359F" w:rsidRPr="00935925" w:rsidRDefault="00F2359F" w:rsidP="00C1457B">
            <w:pPr>
              <w:keepNext/>
              <w:rPr>
                <w:b/>
                <w:sz w:val="22"/>
              </w:rPr>
            </w:pPr>
          </w:p>
        </w:tc>
        <w:tc>
          <w:tcPr>
            <w:tcW w:w="6530" w:type="dxa"/>
            <w:gridSpan w:val="2"/>
          </w:tcPr>
          <w:p w:rsidR="00F2359F" w:rsidRPr="00935925" w:rsidRDefault="00F2359F" w:rsidP="00C1457B">
            <w:pPr>
              <w:keepNext/>
              <w:jc w:val="both"/>
              <w:rPr>
                <w:sz w:val="22"/>
              </w:rPr>
            </w:pPr>
          </w:p>
          <w:p w:rsidR="00F2359F" w:rsidRPr="00935925" w:rsidRDefault="00F2359F" w:rsidP="00C1457B">
            <w:pPr>
              <w:keepNext/>
              <w:jc w:val="both"/>
              <w:rPr>
                <w:b/>
                <w:sz w:val="22"/>
              </w:rPr>
            </w:pPr>
            <w:r w:rsidRPr="00935925">
              <w:rPr>
                <w:b/>
                <w:sz w:val="22"/>
              </w:rPr>
              <w:t>COVENANTS, EVENTS OF DEFAULT, AND ADDITIONAL TERMINATION EVENTS</w:t>
            </w:r>
          </w:p>
          <w:p w:rsidR="00F2359F" w:rsidRPr="00935925" w:rsidRDefault="00F2359F" w:rsidP="00C1457B">
            <w:pPr>
              <w:keepNext/>
              <w:jc w:val="both"/>
              <w:rPr>
                <w:sz w:val="22"/>
              </w:rPr>
            </w:pPr>
          </w:p>
        </w:tc>
      </w:tr>
      <w:tr w:rsidR="007C05EB" w:rsidRPr="00935925" w:rsidTr="00404757">
        <w:tblPrEx>
          <w:tblCellMar>
            <w:left w:w="108" w:type="dxa"/>
            <w:right w:w="108" w:type="dxa"/>
          </w:tblCellMar>
          <w:tblLook w:val="00A0"/>
        </w:tblPrEx>
        <w:tc>
          <w:tcPr>
            <w:tcW w:w="3061" w:type="dxa"/>
          </w:tcPr>
          <w:p w:rsidR="007C05EB" w:rsidRPr="00935925" w:rsidRDefault="00593C45" w:rsidP="00404757">
            <w:pPr>
              <w:rPr>
                <w:b/>
                <w:sz w:val="22"/>
              </w:rPr>
            </w:pPr>
            <w:r>
              <w:rPr>
                <w:b/>
                <w:sz w:val="22"/>
              </w:rPr>
              <w:t>Covenants</w:t>
            </w:r>
          </w:p>
        </w:tc>
        <w:tc>
          <w:tcPr>
            <w:tcW w:w="6530" w:type="dxa"/>
            <w:gridSpan w:val="2"/>
          </w:tcPr>
          <w:p w:rsidR="00526780" w:rsidRPr="00935925" w:rsidRDefault="007C05EB" w:rsidP="00526780">
            <w:pPr>
              <w:jc w:val="both"/>
              <w:rPr>
                <w:sz w:val="22"/>
              </w:rPr>
            </w:pPr>
            <w:r w:rsidRPr="00935925">
              <w:rPr>
                <w:sz w:val="22"/>
              </w:rPr>
              <w:t>Seller to agree to customary affirmative and negative covenants for similar companies</w:t>
            </w:r>
            <w:r w:rsidR="00203BDD" w:rsidRPr="00935925">
              <w:rPr>
                <w:sz w:val="22"/>
              </w:rPr>
              <w:t xml:space="preserve"> and p</w:t>
            </w:r>
            <w:r w:rsidR="00C82A3B" w:rsidRPr="00935925">
              <w:rPr>
                <w:sz w:val="22"/>
              </w:rPr>
              <w:t>rojects</w:t>
            </w:r>
            <w:r w:rsidR="00203BDD" w:rsidRPr="00935925">
              <w:rPr>
                <w:sz w:val="22"/>
              </w:rPr>
              <w:t xml:space="preserve"> similar to the Project</w:t>
            </w:r>
            <w:r w:rsidR="00FF04B1">
              <w:rPr>
                <w:sz w:val="22"/>
              </w:rPr>
              <w:t>, subject to customary qualifications, exceptions, materiality standards and thresholds</w:t>
            </w:r>
            <w:r w:rsidRPr="00935925">
              <w:rPr>
                <w:sz w:val="22"/>
              </w:rPr>
              <w:t>.</w:t>
            </w:r>
          </w:p>
          <w:p w:rsidR="00A45B52" w:rsidRPr="00935925" w:rsidRDefault="00A45B52" w:rsidP="00526780">
            <w:pPr>
              <w:jc w:val="both"/>
              <w:rPr>
                <w:sz w:val="22"/>
              </w:rPr>
            </w:pPr>
            <w:r w:rsidRPr="00935925">
              <w:rPr>
                <w:sz w:val="22"/>
              </w:rPr>
              <w:t>Affirmative covenants shall include, without limitation, compliance with laws, preservation of corporate existence, maintenance of properties, maintenance of insurance</w:t>
            </w:r>
            <w:r w:rsidR="00FA290E" w:rsidRPr="00935925">
              <w:rPr>
                <w:sz w:val="22"/>
              </w:rPr>
              <w:t xml:space="preserve"> and application of loss proceeds</w:t>
            </w:r>
            <w:r w:rsidRPr="00935925">
              <w:rPr>
                <w:sz w:val="22"/>
              </w:rPr>
              <w:t xml:space="preserve">, and further assurances </w:t>
            </w:r>
            <w:r w:rsidR="00FA290E" w:rsidRPr="00935925">
              <w:rPr>
                <w:sz w:val="22"/>
              </w:rPr>
              <w:t xml:space="preserve">and delivery of further information </w:t>
            </w:r>
            <w:r w:rsidRPr="00935925">
              <w:rPr>
                <w:sz w:val="22"/>
              </w:rPr>
              <w:t xml:space="preserve">with respect to the Collateral Package.  </w:t>
            </w:r>
          </w:p>
          <w:p w:rsidR="00593C45" w:rsidRDefault="00C17ADA" w:rsidP="00FA290E">
            <w:pPr>
              <w:jc w:val="both"/>
              <w:rPr>
                <w:sz w:val="22"/>
              </w:rPr>
            </w:pPr>
            <w:r w:rsidRPr="00935925">
              <w:rPr>
                <w:sz w:val="22"/>
              </w:rPr>
              <w:t xml:space="preserve">Negative covenants </w:t>
            </w:r>
            <w:r w:rsidR="00D653DF" w:rsidRPr="00935925">
              <w:rPr>
                <w:sz w:val="22"/>
              </w:rPr>
              <w:t xml:space="preserve">shall be limited to </w:t>
            </w:r>
            <w:r w:rsidR="00C1555F">
              <w:rPr>
                <w:sz w:val="22"/>
              </w:rPr>
              <w:t>liens, indebtedness, mergers and dissolution, dispositions of assets</w:t>
            </w:r>
            <w:r w:rsidR="00A45B52" w:rsidRPr="00935925">
              <w:rPr>
                <w:sz w:val="22"/>
              </w:rPr>
              <w:t>,</w:t>
            </w:r>
            <w:r w:rsidR="00C1555F">
              <w:rPr>
                <w:sz w:val="22"/>
              </w:rPr>
              <w:t xml:space="preserve"> subsidiaries, distributions, and termination or modificatio</w:t>
            </w:r>
            <w:r w:rsidR="00593C45">
              <w:rPr>
                <w:sz w:val="22"/>
              </w:rPr>
              <w:t>n of material project documents.</w:t>
            </w:r>
          </w:p>
          <w:p w:rsidR="00CD390E" w:rsidRPr="00935925" w:rsidRDefault="00593C45" w:rsidP="00593C45">
            <w:pPr>
              <w:jc w:val="both"/>
              <w:rPr>
                <w:sz w:val="22"/>
              </w:rPr>
            </w:pPr>
            <w:r>
              <w:rPr>
                <w:sz w:val="22"/>
              </w:rPr>
              <w:t xml:space="preserve">The aforementioned affirmative and negative covenants shall be as </w:t>
            </w:r>
            <w:r w:rsidR="00C1555F">
              <w:rPr>
                <w:sz w:val="22"/>
              </w:rPr>
              <w:t xml:space="preserve">set </w:t>
            </w:r>
            <w:r w:rsidR="00C1555F">
              <w:rPr>
                <w:sz w:val="22"/>
              </w:rPr>
              <w:lastRenderedPageBreak/>
              <w:t>forth in the senior financing documents</w:t>
            </w:r>
            <w:r w:rsidR="00960403">
              <w:rPr>
                <w:sz w:val="22"/>
              </w:rPr>
              <w:t xml:space="preserve">. Provided that the outstanding principal amount of indebtedness owed to the senior creditors is equal to or greater than a specific threshold to be agreed upon, such covenants may be amended, waived, supplemented or otherwise modified from time to time </w:t>
            </w:r>
            <w:r>
              <w:rPr>
                <w:sz w:val="22"/>
              </w:rPr>
              <w:t>as permitted under</w:t>
            </w:r>
            <w:r w:rsidR="00960403">
              <w:rPr>
                <w:sz w:val="22"/>
              </w:rPr>
              <w:t xml:space="preserve"> the senior financing documents and will apply to the Seller mutatis mutandis as modified or waived. </w:t>
            </w:r>
          </w:p>
        </w:tc>
      </w:tr>
      <w:tr w:rsidR="007C05EB" w:rsidRPr="00935925" w:rsidTr="00404757">
        <w:tblPrEx>
          <w:tblCellMar>
            <w:left w:w="108" w:type="dxa"/>
            <w:right w:w="108" w:type="dxa"/>
          </w:tblCellMar>
          <w:tblLook w:val="00A0"/>
        </w:tblPrEx>
        <w:tc>
          <w:tcPr>
            <w:tcW w:w="3061" w:type="dxa"/>
          </w:tcPr>
          <w:p w:rsidR="007C05EB" w:rsidRPr="00935925" w:rsidRDefault="007C05EB" w:rsidP="00F26271">
            <w:pPr>
              <w:rPr>
                <w:b/>
                <w:sz w:val="22"/>
              </w:rPr>
            </w:pPr>
            <w:r w:rsidRPr="00935925">
              <w:rPr>
                <w:b/>
                <w:sz w:val="22"/>
              </w:rPr>
              <w:lastRenderedPageBreak/>
              <w:t xml:space="preserve">Cross </w:t>
            </w:r>
            <w:r w:rsidR="00F26271">
              <w:rPr>
                <w:b/>
                <w:sz w:val="22"/>
              </w:rPr>
              <w:t>Acceleration</w:t>
            </w:r>
          </w:p>
        </w:tc>
        <w:tc>
          <w:tcPr>
            <w:tcW w:w="6530" w:type="dxa"/>
            <w:gridSpan w:val="2"/>
          </w:tcPr>
          <w:p w:rsidR="007C05EB" w:rsidRPr="00935925" w:rsidRDefault="007C05EB" w:rsidP="00404757">
            <w:pPr>
              <w:jc w:val="both"/>
              <w:rPr>
                <w:sz w:val="22"/>
              </w:rPr>
            </w:pPr>
            <w:r w:rsidRPr="00935925">
              <w:rPr>
                <w:sz w:val="22"/>
              </w:rPr>
              <w:t>Standard definition of “Specified Indebtedness” wil</w:t>
            </w:r>
            <w:r w:rsidR="00C32FE3">
              <w:rPr>
                <w:sz w:val="22"/>
              </w:rPr>
              <w:t xml:space="preserve">l apply to Buyer and Seller. </w:t>
            </w:r>
            <w:r w:rsidRPr="00935925">
              <w:rPr>
                <w:sz w:val="22"/>
              </w:rPr>
              <w:t xml:space="preserve">Cross-acceleration will apply. </w:t>
            </w:r>
          </w:p>
          <w:p w:rsidR="007C05EB" w:rsidRPr="00935925" w:rsidRDefault="007C05EB" w:rsidP="00404757">
            <w:pPr>
              <w:jc w:val="both"/>
              <w:rPr>
                <w:sz w:val="22"/>
              </w:rPr>
            </w:pPr>
            <w:r w:rsidRPr="00065153">
              <w:rPr>
                <w:sz w:val="22"/>
                <w:u w:val="single"/>
              </w:rPr>
              <w:t>Seller Threshold</w:t>
            </w:r>
            <w:r w:rsidRPr="00935925">
              <w:rPr>
                <w:sz w:val="22"/>
              </w:rPr>
              <w:t xml:space="preserve">: </w:t>
            </w:r>
          </w:p>
          <w:p w:rsidR="007C05EB" w:rsidRPr="00935925" w:rsidRDefault="007C05EB" w:rsidP="00404757">
            <w:pPr>
              <w:numPr>
                <w:ilvl w:val="0"/>
                <w:numId w:val="4"/>
              </w:numPr>
              <w:jc w:val="both"/>
              <w:rPr>
                <w:sz w:val="22"/>
              </w:rPr>
            </w:pPr>
            <w:r w:rsidRPr="00935925">
              <w:rPr>
                <w:sz w:val="22"/>
              </w:rPr>
              <w:t xml:space="preserve">Zero with respect to Specified Indebtedness under the senior </w:t>
            </w:r>
            <w:r w:rsidR="00A45B52" w:rsidRPr="00935925">
              <w:rPr>
                <w:sz w:val="22"/>
              </w:rPr>
              <w:t>facility</w:t>
            </w:r>
            <w:r w:rsidRPr="00935925">
              <w:rPr>
                <w:sz w:val="22"/>
              </w:rPr>
              <w:t xml:space="preserve">; and </w:t>
            </w:r>
          </w:p>
          <w:p w:rsidR="007C05EB" w:rsidRPr="00935925" w:rsidRDefault="007C05EB" w:rsidP="00404757">
            <w:pPr>
              <w:numPr>
                <w:ilvl w:val="0"/>
                <w:numId w:val="4"/>
              </w:numPr>
              <w:jc w:val="both"/>
              <w:rPr>
                <w:sz w:val="22"/>
              </w:rPr>
            </w:pPr>
            <w:r w:rsidRPr="00935925">
              <w:rPr>
                <w:sz w:val="22"/>
              </w:rPr>
              <w:t>$[__] million for other Specified Indebtedness.</w:t>
            </w:r>
          </w:p>
          <w:p w:rsidR="007C05EB" w:rsidRPr="00935925" w:rsidRDefault="00065153" w:rsidP="00404757">
            <w:pPr>
              <w:jc w:val="both"/>
              <w:rPr>
                <w:sz w:val="22"/>
              </w:rPr>
            </w:pPr>
            <w:r>
              <w:rPr>
                <w:sz w:val="22"/>
                <w:u w:val="single"/>
              </w:rPr>
              <w:t>Buyer</w:t>
            </w:r>
            <w:r w:rsidRPr="00065153">
              <w:rPr>
                <w:sz w:val="22"/>
                <w:u w:val="single"/>
              </w:rPr>
              <w:t xml:space="preserve"> </w:t>
            </w:r>
            <w:r w:rsidR="007C05EB" w:rsidRPr="00065153">
              <w:rPr>
                <w:sz w:val="22"/>
                <w:u w:val="single"/>
              </w:rPr>
              <w:t>Threshold</w:t>
            </w:r>
            <w:r w:rsidR="007C05EB" w:rsidRPr="00935925">
              <w:rPr>
                <w:sz w:val="22"/>
              </w:rPr>
              <w:t>:</w:t>
            </w:r>
          </w:p>
          <w:p w:rsidR="007C05EB" w:rsidRPr="00935925" w:rsidRDefault="00206A3A" w:rsidP="001B35AE">
            <w:pPr>
              <w:jc w:val="both"/>
              <w:rPr>
                <w:sz w:val="22"/>
              </w:rPr>
            </w:pPr>
            <w:r>
              <w:rPr>
                <w:sz w:val="22"/>
              </w:rPr>
              <w:t>[</w:t>
            </w:r>
            <w:r w:rsidR="00593C45">
              <w:rPr>
                <w:sz w:val="22"/>
              </w:rPr>
              <w:t>__</w:t>
            </w:r>
            <w:r>
              <w:rPr>
                <w:sz w:val="22"/>
              </w:rPr>
              <w:t>]</w:t>
            </w:r>
            <w:r w:rsidR="007C05EB" w:rsidRPr="00935925">
              <w:rPr>
                <w:sz w:val="22"/>
              </w:rPr>
              <w:t>%</w:t>
            </w:r>
            <w:r w:rsidR="00B26807">
              <w:rPr>
                <w:sz w:val="22"/>
              </w:rPr>
              <w:t xml:space="preserve"> </w:t>
            </w:r>
            <w:r w:rsidR="007C05EB" w:rsidRPr="00935925">
              <w:rPr>
                <w:sz w:val="22"/>
              </w:rPr>
              <w:t xml:space="preserve">equity of </w:t>
            </w:r>
            <w:r w:rsidR="00927ABA">
              <w:rPr>
                <w:sz w:val="22"/>
              </w:rPr>
              <w:t xml:space="preserve">BP Corporation North America </w:t>
            </w:r>
            <w:r w:rsidR="00D927D7" w:rsidRPr="00843DA1">
              <w:rPr>
                <w:sz w:val="22"/>
              </w:rPr>
              <w:t>Inc.</w:t>
            </w:r>
          </w:p>
        </w:tc>
      </w:tr>
      <w:tr w:rsidR="0091534E" w:rsidRPr="00935925" w:rsidTr="00BD2884">
        <w:tblPrEx>
          <w:tblCellMar>
            <w:left w:w="108" w:type="dxa"/>
            <w:right w:w="108" w:type="dxa"/>
          </w:tblCellMar>
          <w:tblLook w:val="00A0"/>
        </w:tblPrEx>
        <w:tc>
          <w:tcPr>
            <w:tcW w:w="3061" w:type="dxa"/>
          </w:tcPr>
          <w:p w:rsidR="0091534E" w:rsidRPr="00935925" w:rsidRDefault="0091534E" w:rsidP="00BD2884">
            <w:pPr>
              <w:rPr>
                <w:b/>
                <w:sz w:val="22"/>
              </w:rPr>
            </w:pPr>
            <w:r w:rsidRPr="00935925">
              <w:rPr>
                <w:b/>
                <w:sz w:val="22"/>
              </w:rPr>
              <w:t>Events of Default an</w:t>
            </w:r>
            <w:r w:rsidR="00193C1B" w:rsidRPr="00935925">
              <w:rPr>
                <w:b/>
                <w:sz w:val="22"/>
              </w:rPr>
              <w:t>d Additional Termination Events</w:t>
            </w:r>
          </w:p>
        </w:tc>
        <w:tc>
          <w:tcPr>
            <w:tcW w:w="6530" w:type="dxa"/>
            <w:gridSpan w:val="2"/>
          </w:tcPr>
          <w:p w:rsidR="0091534E" w:rsidRPr="00C75968" w:rsidRDefault="0091534E" w:rsidP="00100989">
            <w:pPr>
              <w:jc w:val="both"/>
              <w:rPr>
                <w:sz w:val="22"/>
              </w:rPr>
            </w:pPr>
            <w:r w:rsidRPr="00C75968">
              <w:rPr>
                <w:sz w:val="22"/>
              </w:rPr>
              <w:t xml:space="preserve">Standard </w:t>
            </w:r>
            <w:r w:rsidR="00927ABA">
              <w:rPr>
                <w:sz w:val="22"/>
              </w:rPr>
              <w:t>EEI</w:t>
            </w:r>
            <w:r w:rsidR="00927ABA" w:rsidRPr="00C75968">
              <w:rPr>
                <w:sz w:val="22"/>
              </w:rPr>
              <w:t xml:space="preserve"> </w:t>
            </w:r>
            <w:r w:rsidRPr="00C75968">
              <w:rPr>
                <w:sz w:val="22"/>
              </w:rPr>
              <w:t xml:space="preserve">Events of Default (with modified cure periods as described below) will apply to both parties. </w:t>
            </w:r>
          </w:p>
          <w:p w:rsidR="0091534E" w:rsidRPr="00C75968" w:rsidRDefault="0091534E" w:rsidP="00100989">
            <w:pPr>
              <w:jc w:val="both"/>
              <w:rPr>
                <w:sz w:val="22"/>
              </w:rPr>
            </w:pPr>
            <w:r w:rsidRPr="00C75968">
              <w:rPr>
                <w:sz w:val="22"/>
              </w:rPr>
              <w:t xml:space="preserve">Additional Termination Events with respect to </w:t>
            </w:r>
            <w:r w:rsidR="006E6077" w:rsidRPr="00C75968">
              <w:rPr>
                <w:sz w:val="22"/>
              </w:rPr>
              <w:t>Seller</w:t>
            </w:r>
            <w:r w:rsidRPr="00C75968">
              <w:rPr>
                <w:sz w:val="22"/>
              </w:rPr>
              <w:t xml:space="preserve"> shall  include</w:t>
            </w:r>
            <w:r w:rsidR="00095478" w:rsidRPr="00C75968">
              <w:rPr>
                <w:sz w:val="22"/>
              </w:rPr>
              <w:t>, but not be limited to</w:t>
            </w:r>
            <w:r w:rsidRPr="00C75968">
              <w:rPr>
                <w:sz w:val="22"/>
              </w:rPr>
              <w:t xml:space="preserve">: </w:t>
            </w:r>
          </w:p>
          <w:p w:rsidR="0091534E" w:rsidRPr="009067BF" w:rsidRDefault="00065153" w:rsidP="009067BF">
            <w:pPr>
              <w:numPr>
                <w:ilvl w:val="0"/>
                <w:numId w:val="5"/>
              </w:numPr>
              <w:jc w:val="both"/>
              <w:rPr>
                <w:sz w:val="22"/>
              </w:rPr>
            </w:pPr>
            <w:r w:rsidRPr="00C75968">
              <w:rPr>
                <w:sz w:val="22"/>
              </w:rPr>
              <w:t>d</w:t>
            </w:r>
            <w:r w:rsidR="0091534E" w:rsidRPr="00C75968">
              <w:rPr>
                <w:sz w:val="22"/>
              </w:rPr>
              <w:t xml:space="preserve">uring any period where the Collateral Package secures the Agreement, any of </w:t>
            </w:r>
            <w:r w:rsidR="006E6077" w:rsidRPr="00C75968">
              <w:rPr>
                <w:sz w:val="22"/>
              </w:rPr>
              <w:t>Seller</w:t>
            </w:r>
            <w:r w:rsidR="0091534E" w:rsidRPr="00C75968">
              <w:rPr>
                <w:sz w:val="22"/>
              </w:rPr>
              <w:t>’s obligations under the Agreement cease to be secured by the required security interests in the Collateral Package</w:t>
            </w:r>
            <w:r w:rsidRPr="00C75968">
              <w:rPr>
                <w:sz w:val="22"/>
              </w:rPr>
              <w:t>,</w:t>
            </w:r>
            <w:r w:rsidR="006216A7" w:rsidRPr="00C75968">
              <w:rPr>
                <w:sz w:val="22"/>
              </w:rPr>
              <w:t xml:space="preserve"> excluding as a result of regulatory  changes </w:t>
            </w:r>
            <w:r w:rsidR="00593C45">
              <w:rPr>
                <w:sz w:val="22"/>
              </w:rPr>
              <w:t xml:space="preserve">or as otherwise permitted under the senior financing documents </w:t>
            </w:r>
            <w:r w:rsidR="0014531B" w:rsidRPr="00C75968">
              <w:rPr>
                <w:sz w:val="22"/>
              </w:rPr>
              <w:t>and</w:t>
            </w:r>
            <w:r w:rsidRPr="00C75968">
              <w:rPr>
                <w:sz w:val="22"/>
              </w:rPr>
              <w:t>,</w:t>
            </w:r>
            <w:r w:rsidR="0014531B" w:rsidRPr="00C75968">
              <w:rPr>
                <w:sz w:val="22"/>
              </w:rPr>
              <w:t xml:space="preserve"> in all cases, </w:t>
            </w:r>
            <w:r w:rsidR="00F26271" w:rsidRPr="00C75968">
              <w:rPr>
                <w:sz w:val="22"/>
              </w:rPr>
              <w:t>subject to a materiality qualifier to be agreed</w:t>
            </w:r>
            <w:r w:rsidR="0091534E" w:rsidRPr="00C75968">
              <w:rPr>
                <w:sz w:val="22"/>
              </w:rPr>
              <w:t xml:space="preserve">; </w:t>
            </w:r>
            <w:r w:rsidR="009067BF">
              <w:rPr>
                <w:sz w:val="22"/>
              </w:rPr>
              <w:t>and</w:t>
            </w:r>
          </w:p>
          <w:p w:rsidR="0091534E" w:rsidRPr="00C75968" w:rsidRDefault="006E6077" w:rsidP="00D5348B">
            <w:pPr>
              <w:numPr>
                <w:ilvl w:val="0"/>
                <w:numId w:val="5"/>
              </w:numPr>
              <w:jc w:val="both"/>
              <w:rPr>
                <w:sz w:val="22"/>
              </w:rPr>
            </w:pPr>
            <w:r w:rsidRPr="00C75968">
              <w:rPr>
                <w:sz w:val="22"/>
              </w:rPr>
              <w:t>Seller</w:t>
            </w:r>
            <w:r w:rsidR="0091534E" w:rsidRPr="00C75968">
              <w:rPr>
                <w:sz w:val="22"/>
              </w:rPr>
              <w:t xml:space="preserve"> breaches certain agreed</w:t>
            </w:r>
            <w:r w:rsidR="008D67EA" w:rsidRPr="00C75968">
              <w:rPr>
                <w:sz w:val="22"/>
              </w:rPr>
              <w:t>-</w:t>
            </w:r>
            <w:r w:rsidR="0091534E" w:rsidRPr="00C75968">
              <w:rPr>
                <w:sz w:val="22"/>
              </w:rPr>
              <w:t xml:space="preserve">upon </w:t>
            </w:r>
            <w:proofErr w:type="gramStart"/>
            <w:r w:rsidR="0091534E" w:rsidRPr="00C75968">
              <w:rPr>
                <w:sz w:val="22"/>
              </w:rPr>
              <w:t>Covenants</w:t>
            </w:r>
            <w:r w:rsidR="00D5348B" w:rsidRPr="00C75968">
              <w:rPr>
                <w:sz w:val="22"/>
              </w:rPr>
              <w:t>,</w:t>
            </w:r>
            <w:proofErr w:type="gramEnd"/>
            <w:r w:rsidR="00D5348B" w:rsidRPr="00C75968">
              <w:rPr>
                <w:sz w:val="22"/>
              </w:rPr>
              <w:t xml:space="preserve"> </w:t>
            </w:r>
            <w:r w:rsidR="008D67EA" w:rsidRPr="00C75968">
              <w:rPr>
                <w:sz w:val="22"/>
              </w:rPr>
              <w:t>as such covenants are set forth in the senior financing documents</w:t>
            </w:r>
            <w:r w:rsidR="008D67EA" w:rsidRPr="00C75968" w:rsidDel="008D67EA">
              <w:rPr>
                <w:sz w:val="22"/>
              </w:rPr>
              <w:t xml:space="preserve"> </w:t>
            </w:r>
            <w:r w:rsidR="008D67EA" w:rsidRPr="00C75968">
              <w:rPr>
                <w:sz w:val="22"/>
              </w:rPr>
              <w:t xml:space="preserve">and </w:t>
            </w:r>
            <w:r w:rsidR="00065153" w:rsidRPr="00C75968">
              <w:rPr>
                <w:sz w:val="22"/>
              </w:rPr>
              <w:t xml:space="preserve">may be amended, waived, supplemented or otherwise modified from time to time </w:t>
            </w:r>
            <w:r w:rsidR="00593C45">
              <w:rPr>
                <w:sz w:val="22"/>
              </w:rPr>
              <w:t>as permitted under</w:t>
            </w:r>
            <w:r w:rsidR="00065153" w:rsidRPr="00C75968">
              <w:rPr>
                <w:sz w:val="22"/>
              </w:rPr>
              <w:t xml:space="preserve"> the senior financing documents.</w:t>
            </w:r>
          </w:p>
          <w:p w:rsidR="0091534E" w:rsidRPr="00C75968" w:rsidRDefault="0091534E" w:rsidP="00C75968">
            <w:pPr>
              <w:rPr>
                <w:sz w:val="22"/>
              </w:rPr>
            </w:pPr>
            <w:r w:rsidRPr="00C75968">
              <w:rPr>
                <w:sz w:val="22"/>
              </w:rPr>
              <w:t xml:space="preserve">In the case of any Additional Termination Event, </w:t>
            </w:r>
            <w:r w:rsidR="006E6077" w:rsidRPr="00C75968">
              <w:rPr>
                <w:sz w:val="22"/>
              </w:rPr>
              <w:t>Seller</w:t>
            </w:r>
            <w:r w:rsidRPr="00C75968">
              <w:rPr>
                <w:sz w:val="22"/>
              </w:rPr>
              <w:t xml:space="preserve"> will be the </w:t>
            </w:r>
            <w:r w:rsidR="00095478" w:rsidRPr="00C75968">
              <w:rPr>
                <w:sz w:val="22"/>
              </w:rPr>
              <w:t xml:space="preserve">sole </w:t>
            </w:r>
            <w:r w:rsidRPr="00C75968">
              <w:rPr>
                <w:sz w:val="22"/>
              </w:rPr>
              <w:t xml:space="preserve">“Affected Party” and all transactions will be “Affected Transactions”. </w:t>
            </w:r>
          </w:p>
        </w:tc>
      </w:tr>
      <w:tr w:rsidR="0091534E" w:rsidRPr="00935925" w:rsidTr="00BD2884">
        <w:tblPrEx>
          <w:tblCellMar>
            <w:left w:w="108" w:type="dxa"/>
            <w:right w:w="108" w:type="dxa"/>
          </w:tblCellMar>
          <w:tblLook w:val="00A0"/>
        </w:tblPrEx>
        <w:tc>
          <w:tcPr>
            <w:tcW w:w="3061" w:type="dxa"/>
          </w:tcPr>
          <w:p w:rsidR="0091534E" w:rsidRPr="00935925" w:rsidRDefault="00593C45" w:rsidP="00BD2884">
            <w:pPr>
              <w:rPr>
                <w:b/>
                <w:sz w:val="22"/>
              </w:rPr>
            </w:pPr>
            <w:r>
              <w:rPr>
                <w:b/>
                <w:sz w:val="22"/>
              </w:rPr>
              <w:t>Deliverables</w:t>
            </w:r>
          </w:p>
        </w:tc>
        <w:tc>
          <w:tcPr>
            <w:tcW w:w="6530" w:type="dxa"/>
            <w:gridSpan w:val="2"/>
          </w:tcPr>
          <w:p w:rsidR="0091534E" w:rsidRPr="001B35AE" w:rsidRDefault="0091534E" w:rsidP="00100989">
            <w:pPr>
              <w:jc w:val="both"/>
              <w:rPr>
                <w:sz w:val="22"/>
              </w:rPr>
            </w:pPr>
            <w:r w:rsidRPr="00C75968">
              <w:rPr>
                <w:sz w:val="22"/>
                <w:u w:val="single"/>
              </w:rPr>
              <w:t>D</w:t>
            </w:r>
            <w:r w:rsidRPr="001B35AE">
              <w:rPr>
                <w:sz w:val="22"/>
                <w:u w:val="single"/>
              </w:rPr>
              <w:t xml:space="preserve">iligence </w:t>
            </w:r>
            <w:r w:rsidR="00A77877" w:rsidRPr="001B35AE">
              <w:rPr>
                <w:sz w:val="22"/>
                <w:u w:val="single"/>
              </w:rPr>
              <w:t>D</w:t>
            </w:r>
            <w:r w:rsidRPr="001B35AE">
              <w:rPr>
                <w:sz w:val="22"/>
                <w:u w:val="single"/>
              </w:rPr>
              <w:t>eliverables:</w:t>
            </w:r>
            <w:r w:rsidRPr="001B35AE">
              <w:rPr>
                <w:sz w:val="22"/>
              </w:rPr>
              <w:t xml:space="preserve"> </w:t>
            </w:r>
          </w:p>
          <w:p w:rsidR="0091534E" w:rsidRPr="001B35AE" w:rsidRDefault="001B35AE" w:rsidP="00C75968">
            <w:pPr>
              <w:rPr>
                <w:i/>
                <w:sz w:val="22"/>
              </w:rPr>
            </w:pPr>
            <w:r w:rsidRPr="001B35AE">
              <w:rPr>
                <w:sz w:val="22"/>
              </w:rPr>
              <w:lastRenderedPageBreak/>
              <w:t>[BP to confirm what (if anything) it needs for diligence]</w:t>
            </w:r>
          </w:p>
          <w:p w:rsidR="0091534E" w:rsidRPr="00C75968" w:rsidRDefault="0091534E" w:rsidP="00C75968">
            <w:pPr>
              <w:rPr>
                <w:sz w:val="22"/>
              </w:rPr>
            </w:pPr>
            <w:r w:rsidRPr="001B35AE">
              <w:rPr>
                <w:sz w:val="22"/>
              </w:rPr>
              <w:t>P</w:t>
            </w:r>
            <w:r w:rsidRPr="00C75968">
              <w:rPr>
                <w:sz w:val="22"/>
              </w:rPr>
              <w:t xml:space="preserve">roject documents, including the </w:t>
            </w:r>
            <w:r w:rsidR="008D67EA" w:rsidRPr="00C75968">
              <w:rPr>
                <w:sz w:val="22"/>
              </w:rPr>
              <w:t>construction agreement</w:t>
            </w:r>
            <w:r w:rsidRPr="00C75968">
              <w:rPr>
                <w:sz w:val="22"/>
              </w:rPr>
              <w:t xml:space="preserve">, senior financing documents and </w:t>
            </w:r>
            <w:r w:rsidR="00CD390E" w:rsidRPr="00C75968">
              <w:rPr>
                <w:sz w:val="22"/>
              </w:rPr>
              <w:t>ancillary agreements</w:t>
            </w:r>
            <w:r w:rsidRPr="00C75968">
              <w:rPr>
                <w:sz w:val="22"/>
              </w:rPr>
              <w:t xml:space="preserve"> </w:t>
            </w:r>
            <w:proofErr w:type="spellStart"/>
            <w:r w:rsidRPr="00C75968">
              <w:rPr>
                <w:sz w:val="22"/>
              </w:rPr>
              <w:t>thereunder</w:t>
            </w:r>
            <w:proofErr w:type="spellEnd"/>
            <w:r w:rsidRPr="00C75968">
              <w:rPr>
                <w:sz w:val="22"/>
              </w:rPr>
              <w:t xml:space="preserve">, </w:t>
            </w:r>
            <w:r w:rsidR="00CD390E" w:rsidRPr="00C75968">
              <w:rPr>
                <w:sz w:val="22"/>
              </w:rPr>
              <w:t>organizational documents</w:t>
            </w:r>
            <w:r w:rsidRPr="00C75968">
              <w:rPr>
                <w:sz w:val="22"/>
              </w:rPr>
              <w:t xml:space="preserve">, and other related documents </w:t>
            </w:r>
            <w:r w:rsidR="00CD390E" w:rsidRPr="00C75968">
              <w:rPr>
                <w:sz w:val="22"/>
              </w:rPr>
              <w:t xml:space="preserve">reasonably </w:t>
            </w:r>
            <w:r w:rsidRPr="00C75968">
              <w:rPr>
                <w:sz w:val="22"/>
              </w:rPr>
              <w:t xml:space="preserve">requested by </w:t>
            </w:r>
            <w:r w:rsidR="006E6077" w:rsidRPr="00C75968">
              <w:rPr>
                <w:sz w:val="22"/>
              </w:rPr>
              <w:t>Buyer</w:t>
            </w:r>
            <w:r w:rsidRPr="00C75968">
              <w:rPr>
                <w:sz w:val="22"/>
              </w:rPr>
              <w:t>.</w:t>
            </w:r>
          </w:p>
          <w:p w:rsidR="0091534E" w:rsidRPr="00C75968" w:rsidRDefault="00A77877" w:rsidP="00100989">
            <w:pPr>
              <w:jc w:val="both"/>
              <w:rPr>
                <w:sz w:val="22"/>
              </w:rPr>
            </w:pPr>
            <w:r w:rsidRPr="00C75968">
              <w:rPr>
                <w:sz w:val="22"/>
                <w:u w:val="single"/>
              </w:rPr>
              <w:t>General D</w:t>
            </w:r>
            <w:r w:rsidR="0091534E" w:rsidRPr="00C75968">
              <w:rPr>
                <w:sz w:val="22"/>
                <w:u w:val="single"/>
              </w:rPr>
              <w:t>eliverables</w:t>
            </w:r>
            <w:r w:rsidR="0091534E" w:rsidRPr="00C75968">
              <w:rPr>
                <w:sz w:val="22"/>
              </w:rPr>
              <w:t>:</w:t>
            </w:r>
          </w:p>
          <w:p w:rsidR="0091534E" w:rsidRPr="00C75968" w:rsidRDefault="0091534E" w:rsidP="00600E96">
            <w:pPr>
              <w:rPr>
                <w:sz w:val="22"/>
              </w:rPr>
            </w:pPr>
            <w:r w:rsidRPr="00C75968">
              <w:rPr>
                <w:sz w:val="22"/>
              </w:rPr>
              <w:t xml:space="preserve">Standard deliverables for power </w:t>
            </w:r>
            <w:r w:rsidR="00600E96">
              <w:rPr>
                <w:sz w:val="22"/>
              </w:rPr>
              <w:t>hedge</w:t>
            </w:r>
            <w:r w:rsidR="00600E96" w:rsidRPr="00C75968">
              <w:rPr>
                <w:sz w:val="22"/>
              </w:rPr>
              <w:t xml:space="preserve"> </w:t>
            </w:r>
            <w:r w:rsidRPr="00C75968">
              <w:rPr>
                <w:sz w:val="22"/>
              </w:rPr>
              <w:t>transactions (</w:t>
            </w:r>
            <w:r w:rsidR="00CD390E" w:rsidRPr="00C75968">
              <w:rPr>
                <w:sz w:val="22"/>
              </w:rPr>
              <w:t>e.g.</w:t>
            </w:r>
            <w:r w:rsidR="008D67EA" w:rsidRPr="00C75968">
              <w:rPr>
                <w:sz w:val="22"/>
              </w:rPr>
              <w:t>,</w:t>
            </w:r>
            <w:r w:rsidR="00CD390E" w:rsidRPr="00C75968">
              <w:rPr>
                <w:sz w:val="22"/>
              </w:rPr>
              <w:t xml:space="preserve"> </w:t>
            </w:r>
            <w:r w:rsidRPr="00C75968">
              <w:rPr>
                <w:sz w:val="22"/>
              </w:rPr>
              <w:t>corporate approval documents, audited financial statement</w:t>
            </w:r>
            <w:r w:rsidR="00CD390E" w:rsidRPr="00C75968">
              <w:rPr>
                <w:sz w:val="22"/>
              </w:rPr>
              <w:t>s, and credit support documents</w:t>
            </w:r>
            <w:r w:rsidRPr="00C75968">
              <w:rPr>
                <w:sz w:val="22"/>
              </w:rPr>
              <w:t xml:space="preserve">), including </w:t>
            </w:r>
            <w:r w:rsidR="00C62423" w:rsidRPr="00C75968">
              <w:rPr>
                <w:sz w:val="22"/>
              </w:rPr>
              <w:t xml:space="preserve">an opinion of counsel (regarding enforceability of the security agreements and such other opinions as are customarily provided in secured transactions), </w:t>
            </w:r>
            <w:r w:rsidRPr="00C75968">
              <w:rPr>
                <w:sz w:val="22"/>
              </w:rPr>
              <w:t>generating and operating repor</w:t>
            </w:r>
            <w:r w:rsidR="00CD390E" w:rsidRPr="00C75968">
              <w:rPr>
                <w:sz w:val="22"/>
              </w:rPr>
              <w:t>ts delivered on a monthly basis</w:t>
            </w:r>
            <w:r w:rsidRPr="00C75968">
              <w:rPr>
                <w:sz w:val="22"/>
              </w:rPr>
              <w:t xml:space="preserve"> and ongoing financial and other reporting (including construction progress), as appropriate. </w:t>
            </w:r>
          </w:p>
        </w:tc>
      </w:tr>
      <w:tr w:rsidR="005B428C" w:rsidRPr="005B428C" w:rsidTr="00BD2884">
        <w:tblPrEx>
          <w:tblCellMar>
            <w:left w:w="108" w:type="dxa"/>
            <w:right w:w="108" w:type="dxa"/>
          </w:tblCellMar>
          <w:tblLook w:val="00A0"/>
        </w:tblPrEx>
        <w:tc>
          <w:tcPr>
            <w:tcW w:w="3061" w:type="dxa"/>
          </w:tcPr>
          <w:p w:rsidR="005B428C" w:rsidRPr="005B428C" w:rsidDel="005B428C" w:rsidRDefault="005B428C" w:rsidP="00BD2884">
            <w:pPr>
              <w:rPr>
                <w:b/>
                <w:sz w:val="22"/>
              </w:rPr>
            </w:pPr>
            <w:bookmarkStart w:id="1" w:name="_DV_M305"/>
            <w:bookmarkStart w:id="2" w:name="_DV_M306"/>
            <w:bookmarkStart w:id="3" w:name="_DV_M307"/>
            <w:bookmarkStart w:id="4" w:name="_DV_M558"/>
            <w:bookmarkEnd w:id="1"/>
            <w:bookmarkEnd w:id="2"/>
            <w:bookmarkEnd w:id="3"/>
            <w:bookmarkEnd w:id="4"/>
            <w:r w:rsidRPr="005B428C">
              <w:rPr>
                <w:b/>
                <w:sz w:val="22"/>
              </w:rPr>
              <w:lastRenderedPageBreak/>
              <w:t>Change of Control; Assignment</w:t>
            </w:r>
          </w:p>
        </w:tc>
        <w:tc>
          <w:tcPr>
            <w:tcW w:w="6530" w:type="dxa"/>
            <w:gridSpan w:val="2"/>
          </w:tcPr>
          <w:p w:rsidR="005B428C" w:rsidRPr="005B428C" w:rsidRDefault="005B428C" w:rsidP="005B428C">
            <w:pPr>
              <w:jc w:val="both"/>
              <w:rPr>
                <w:sz w:val="22"/>
              </w:rPr>
            </w:pPr>
            <w:r w:rsidRPr="005B428C">
              <w:rPr>
                <w:sz w:val="22"/>
              </w:rPr>
              <w:t xml:space="preserve">Except as </w:t>
            </w:r>
            <w:r w:rsidR="003E2009">
              <w:rPr>
                <w:sz w:val="22"/>
              </w:rPr>
              <w:t xml:space="preserve">otherwise </w:t>
            </w:r>
            <w:r w:rsidRPr="005B428C">
              <w:rPr>
                <w:sz w:val="22"/>
              </w:rPr>
              <w:t xml:space="preserve">provided </w:t>
            </w:r>
            <w:r w:rsidR="003E2009">
              <w:rPr>
                <w:sz w:val="22"/>
              </w:rPr>
              <w:t>in this paragraph</w:t>
            </w:r>
            <w:r w:rsidRPr="005B428C">
              <w:rPr>
                <w:sz w:val="22"/>
              </w:rPr>
              <w:t xml:space="preserve">, any Change of Control of either </w:t>
            </w:r>
            <w:r w:rsidR="003E2009">
              <w:rPr>
                <w:sz w:val="22"/>
              </w:rPr>
              <w:t>party</w:t>
            </w:r>
            <w:r w:rsidRPr="005B428C">
              <w:rPr>
                <w:sz w:val="22"/>
              </w:rPr>
              <w:t xml:space="preserve"> is permitted only with other </w:t>
            </w:r>
            <w:r w:rsidR="003E2009">
              <w:rPr>
                <w:sz w:val="22"/>
              </w:rPr>
              <w:t>party’s</w:t>
            </w:r>
            <w:r w:rsidRPr="005B428C">
              <w:rPr>
                <w:sz w:val="22"/>
              </w:rPr>
              <w:t xml:space="preserve"> prior written consent, which shall not be unreasonably withheld</w:t>
            </w:r>
            <w:r w:rsidR="00EB2C4F">
              <w:rPr>
                <w:sz w:val="22"/>
              </w:rPr>
              <w:t xml:space="preserve"> or delayed</w:t>
            </w:r>
            <w:r w:rsidRPr="005B428C">
              <w:rPr>
                <w:sz w:val="22"/>
              </w:rPr>
              <w:t>.  For the avoidance of doubt, th</w:t>
            </w:r>
            <w:r w:rsidR="003E2009">
              <w:rPr>
                <w:sz w:val="22"/>
              </w:rPr>
              <w:t>e p</w:t>
            </w:r>
            <w:r w:rsidRPr="005B428C">
              <w:rPr>
                <w:sz w:val="22"/>
              </w:rPr>
              <w:t>arty that is not experiencing a Change of Control may withhold consent if it reasonably determines that the potential acquirer</w:t>
            </w:r>
            <w:r w:rsidR="003E2009">
              <w:rPr>
                <w:sz w:val="22"/>
              </w:rPr>
              <w:t xml:space="preserve"> is not as creditworthy as the p</w:t>
            </w:r>
            <w:r w:rsidRPr="005B428C">
              <w:rPr>
                <w:sz w:val="22"/>
              </w:rPr>
              <w:t>arty experi</w:t>
            </w:r>
            <w:r w:rsidR="003E2009">
              <w:rPr>
                <w:sz w:val="22"/>
              </w:rPr>
              <w:t xml:space="preserve">encing a Change of Control and </w:t>
            </w:r>
            <w:r w:rsidRPr="005B428C">
              <w:rPr>
                <w:sz w:val="22"/>
              </w:rPr>
              <w:t xml:space="preserve">such acquirer refuses to provide additional </w:t>
            </w:r>
            <w:r w:rsidR="00843DA1">
              <w:rPr>
                <w:sz w:val="22"/>
              </w:rPr>
              <w:t>p</w:t>
            </w:r>
            <w:r w:rsidRPr="005B428C">
              <w:rPr>
                <w:sz w:val="22"/>
              </w:rPr>
              <w:t xml:space="preserve">erformance </w:t>
            </w:r>
            <w:r w:rsidR="00843DA1">
              <w:rPr>
                <w:sz w:val="22"/>
              </w:rPr>
              <w:t>a</w:t>
            </w:r>
            <w:r w:rsidR="003E2009">
              <w:rPr>
                <w:sz w:val="22"/>
              </w:rPr>
              <w:t xml:space="preserve">ssurance. </w:t>
            </w:r>
            <w:r w:rsidR="00EB2C4F">
              <w:rPr>
                <w:bCs/>
                <w:iCs/>
                <w:sz w:val="22"/>
              </w:rPr>
              <w:t>A</w:t>
            </w:r>
            <w:r w:rsidR="00534A7C" w:rsidRPr="005B428C">
              <w:rPr>
                <w:bCs/>
                <w:iCs/>
                <w:sz w:val="22"/>
              </w:rPr>
              <w:t xml:space="preserve"> Change of Control shall </w:t>
            </w:r>
            <w:r w:rsidR="00EB2C4F">
              <w:rPr>
                <w:bCs/>
                <w:iCs/>
                <w:sz w:val="22"/>
              </w:rPr>
              <w:t xml:space="preserve">be permitted without </w:t>
            </w:r>
            <w:r w:rsidR="003E2009">
              <w:rPr>
                <w:bCs/>
                <w:iCs/>
                <w:sz w:val="22"/>
              </w:rPr>
              <w:t>the other p</w:t>
            </w:r>
            <w:r w:rsidR="00534A7C" w:rsidRPr="005B428C">
              <w:rPr>
                <w:bCs/>
                <w:iCs/>
                <w:sz w:val="22"/>
              </w:rPr>
              <w:t>arty’s consent</w:t>
            </w:r>
            <w:r w:rsidR="00EB2C4F">
              <w:rPr>
                <w:bCs/>
                <w:iCs/>
                <w:sz w:val="22"/>
              </w:rPr>
              <w:t xml:space="preserve"> if the following conditions are satisfied</w:t>
            </w:r>
            <w:r w:rsidR="00534A7C" w:rsidRPr="005B428C">
              <w:rPr>
                <w:bCs/>
                <w:iCs/>
                <w:sz w:val="22"/>
              </w:rPr>
              <w:t>: (</w:t>
            </w:r>
            <w:proofErr w:type="spellStart"/>
            <w:r w:rsidR="00EB2C4F">
              <w:rPr>
                <w:bCs/>
                <w:iCs/>
                <w:sz w:val="22"/>
              </w:rPr>
              <w:t>i</w:t>
            </w:r>
            <w:proofErr w:type="spellEnd"/>
            <w:r w:rsidR="003E2009">
              <w:rPr>
                <w:bCs/>
                <w:iCs/>
                <w:sz w:val="22"/>
              </w:rPr>
              <w:t>) the p</w:t>
            </w:r>
            <w:r w:rsidR="00534A7C" w:rsidRPr="005B428C">
              <w:rPr>
                <w:bCs/>
                <w:iCs/>
                <w:sz w:val="22"/>
              </w:rPr>
              <w:t>arty experiencing the Change of Control is financially solven</w:t>
            </w:r>
            <w:r w:rsidR="003E2009">
              <w:rPr>
                <w:bCs/>
                <w:iCs/>
                <w:sz w:val="22"/>
              </w:rPr>
              <w:t>t;</w:t>
            </w:r>
            <w:r w:rsidR="00534A7C" w:rsidRPr="005B428C">
              <w:rPr>
                <w:bCs/>
                <w:iCs/>
                <w:sz w:val="22"/>
              </w:rPr>
              <w:t xml:space="preserve"> (</w:t>
            </w:r>
            <w:r w:rsidR="00EB2C4F">
              <w:rPr>
                <w:bCs/>
                <w:iCs/>
                <w:sz w:val="22"/>
              </w:rPr>
              <w:t>ii</w:t>
            </w:r>
            <w:r w:rsidR="003E2009">
              <w:rPr>
                <w:bCs/>
                <w:iCs/>
                <w:sz w:val="22"/>
              </w:rPr>
              <w:t>) the creditworthiness of the p</w:t>
            </w:r>
            <w:r w:rsidR="00534A7C" w:rsidRPr="005B428C">
              <w:rPr>
                <w:bCs/>
                <w:iCs/>
                <w:sz w:val="22"/>
              </w:rPr>
              <w:t>arty experiencing the Change of Control is not adversely aff</w:t>
            </w:r>
            <w:r w:rsidR="003E2009">
              <w:rPr>
                <w:bCs/>
                <w:iCs/>
                <w:sz w:val="22"/>
              </w:rPr>
              <w:t>ected by such Change of Control;</w:t>
            </w:r>
            <w:r w:rsidR="00534A7C" w:rsidRPr="005B428C">
              <w:rPr>
                <w:bCs/>
                <w:iCs/>
                <w:sz w:val="22"/>
              </w:rPr>
              <w:t xml:space="preserve"> and (</w:t>
            </w:r>
            <w:r w:rsidR="00EB2C4F">
              <w:rPr>
                <w:bCs/>
                <w:iCs/>
                <w:sz w:val="22"/>
              </w:rPr>
              <w:t>iii</w:t>
            </w:r>
            <w:r w:rsidR="003E2009">
              <w:rPr>
                <w:bCs/>
                <w:iCs/>
                <w:sz w:val="22"/>
              </w:rPr>
              <w:t>) the p</w:t>
            </w:r>
            <w:r w:rsidR="00534A7C" w:rsidRPr="005B428C">
              <w:rPr>
                <w:bCs/>
                <w:iCs/>
                <w:sz w:val="22"/>
              </w:rPr>
              <w:t>arty experiencing the Change of Control will have the same or improved ability to perform its obligations under the EEI</w:t>
            </w:r>
            <w:r w:rsidR="003E2009">
              <w:rPr>
                <w:bCs/>
                <w:iCs/>
                <w:sz w:val="22"/>
              </w:rPr>
              <w:t xml:space="preserve"> documents</w:t>
            </w:r>
            <w:r w:rsidR="00534A7C" w:rsidRPr="005B428C">
              <w:rPr>
                <w:bCs/>
                <w:iCs/>
                <w:sz w:val="22"/>
              </w:rPr>
              <w:t>.</w:t>
            </w:r>
          </w:p>
          <w:p w:rsidR="005B428C" w:rsidRPr="005B428C" w:rsidRDefault="005B428C" w:rsidP="005B428C">
            <w:pPr>
              <w:jc w:val="both"/>
              <w:rPr>
                <w:bCs/>
                <w:iCs/>
                <w:sz w:val="22"/>
              </w:rPr>
            </w:pPr>
            <w:r w:rsidRPr="005B428C">
              <w:rPr>
                <w:sz w:val="22"/>
              </w:rPr>
              <w:t>“</w:t>
            </w:r>
            <w:r w:rsidRPr="005B428C">
              <w:rPr>
                <w:b/>
                <w:i/>
                <w:sz w:val="22"/>
              </w:rPr>
              <w:t>Change of Control</w:t>
            </w:r>
            <w:r w:rsidRPr="005B428C">
              <w:rPr>
                <w:sz w:val="22"/>
              </w:rPr>
              <w:t xml:space="preserve">” means </w:t>
            </w:r>
            <w:r w:rsidR="00A833C2">
              <w:rPr>
                <w:bCs/>
                <w:iCs/>
                <w:sz w:val="22"/>
              </w:rPr>
              <w:t>(</w:t>
            </w:r>
            <w:proofErr w:type="spellStart"/>
            <w:r w:rsidR="00A833C2">
              <w:rPr>
                <w:bCs/>
                <w:iCs/>
                <w:sz w:val="22"/>
              </w:rPr>
              <w:t>i</w:t>
            </w:r>
            <w:proofErr w:type="spellEnd"/>
            <w:r w:rsidRPr="005B428C">
              <w:rPr>
                <w:bCs/>
                <w:iCs/>
                <w:sz w:val="22"/>
              </w:rPr>
              <w:t xml:space="preserve">) if any </w:t>
            </w:r>
            <w:r w:rsidR="004379AC">
              <w:rPr>
                <w:bCs/>
                <w:iCs/>
                <w:sz w:val="22"/>
              </w:rPr>
              <w:t>p</w:t>
            </w:r>
            <w:r w:rsidRPr="005B428C">
              <w:rPr>
                <w:bCs/>
                <w:iCs/>
                <w:sz w:val="22"/>
              </w:rPr>
              <w:t xml:space="preserve">erson that is not </w:t>
            </w:r>
            <w:r w:rsidR="003E2009">
              <w:rPr>
                <w:bCs/>
                <w:iCs/>
                <w:sz w:val="22"/>
              </w:rPr>
              <w:t>a member or equity holder of a p</w:t>
            </w:r>
            <w:r w:rsidRPr="005B428C">
              <w:rPr>
                <w:bCs/>
                <w:iCs/>
                <w:sz w:val="22"/>
              </w:rPr>
              <w:t>arty (on the effective date of the EEI</w:t>
            </w:r>
            <w:r w:rsidR="003E2009">
              <w:rPr>
                <w:bCs/>
                <w:iCs/>
                <w:sz w:val="22"/>
              </w:rPr>
              <w:t xml:space="preserve"> documentation</w:t>
            </w:r>
            <w:r w:rsidRPr="005B428C">
              <w:rPr>
                <w:bCs/>
                <w:iCs/>
                <w:sz w:val="22"/>
              </w:rPr>
              <w:t>) should hereafter acquire, directly or indirectly, more than 50% o</w:t>
            </w:r>
            <w:r w:rsidR="00A833C2">
              <w:rPr>
                <w:bCs/>
                <w:iCs/>
                <w:sz w:val="22"/>
              </w:rPr>
              <w:t>f the beneficial ownership of (a</w:t>
            </w:r>
            <w:r w:rsidRPr="005B428C">
              <w:rPr>
                <w:bCs/>
                <w:iCs/>
                <w:sz w:val="22"/>
              </w:rPr>
              <w:t xml:space="preserve">) equity securities having the power to elect any percent of the management </w:t>
            </w:r>
            <w:r w:rsidR="003E2009">
              <w:rPr>
                <w:bCs/>
                <w:iCs/>
                <w:sz w:val="22"/>
              </w:rPr>
              <w:t>of that p</w:t>
            </w:r>
            <w:r w:rsidR="00A833C2">
              <w:rPr>
                <w:bCs/>
                <w:iCs/>
                <w:sz w:val="22"/>
              </w:rPr>
              <w:t>arty or (b</w:t>
            </w:r>
            <w:r w:rsidRPr="005B428C">
              <w:rPr>
                <w:bCs/>
                <w:iCs/>
                <w:sz w:val="22"/>
              </w:rPr>
              <w:t>) an</w:t>
            </w:r>
            <w:r w:rsidR="00A833C2">
              <w:rPr>
                <w:bCs/>
                <w:iCs/>
                <w:sz w:val="22"/>
              </w:rPr>
              <w:t>y other ownership interest or (ii</w:t>
            </w:r>
            <w:r w:rsidRPr="005B428C">
              <w:rPr>
                <w:bCs/>
                <w:iCs/>
                <w:sz w:val="22"/>
              </w:rPr>
              <w:t xml:space="preserve">) the sale </w:t>
            </w:r>
            <w:r w:rsidR="00EB2C4F">
              <w:rPr>
                <w:bCs/>
                <w:iCs/>
                <w:sz w:val="22"/>
              </w:rPr>
              <w:t xml:space="preserve">of all or </w:t>
            </w:r>
            <w:r w:rsidR="003E2009">
              <w:rPr>
                <w:bCs/>
                <w:iCs/>
                <w:sz w:val="22"/>
              </w:rPr>
              <w:t>substantially all of a p</w:t>
            </w:r>
            <w:r w:rsidRPr="005B428C">
              <w:rPr>
                <w:bCs/>
                <w:iCs/>
                <w:sz w:val="22"/>
              </w:rPr>
              <w:t xml:space="preserve">arty's assets, </w:t>
            </w:r>
            <w:r w:rsidRPr="005B428C">
              <w:rPr>
                <w:sz w:val="22"/>
              </w:rPr>
              <w:t>whether now owned or hereafter acquired,</w:t>
            </w:r>
            <w:r w:rsidRPr="005B428C">
              <w:rPr>
                <w:bCs/>
                <w:iCs/>
                <w:sz w:val="22"/>
              </w:rPr>
              <w:t xml:space="preserve"> to a </w:t>
            </w:r>
            <w:r w:rsidR="00EB2C4F">
              <w:rPr>
                <w:bCs/>
                <w:iCs/>
                <w:sz w:val="22"/>
              </w:rPr>
              <w:t>p</w:t>
            </w:r>
            <w:r w:rsidR="005B0E54">
              <w:rPr>
                <w:bCs/>
                <w:iCs/>
                <w:sz w:val="22"/>
              </w:rPr>
              <w:t>erson</w:t>
            </w:r>
            <w:r w:rsidR="00D927D7">
              <w:rPr>
                <w:bCs/>
                <w:iCs/>
                <w:sz w:val="22"/>
              </w:rPr>
              <w:t>.</w:t>
            </w:r>
            <w:r w:rsidR="005B0E54">
              <w:rPr>
                <w:bCs/>
                <w:iCs/>
                <w:sz w:val="22"/>
              </w:rPr>
              <w:t xml:space="preserve"> </w:t>
            </w:r>
            <w:r w:rsidR="00534A7C" w:rsidRPr="005B428C">
              <w:rPr>
                <w:bCs/>
                <w:iCs/>
                <w:sz w:val="22"/>
              </w:rPr>
              <w:t xml:space="preserve"> </w:t>
            </w:r>
          </w:p>
          <w:p w:rsidR="005B428C" w:rsidRPr="005B428C" w:rsidRDefault="005B428C" w:rsidP="003E2009">
            <w:pPr>
              <w:rPr>
                <w:b/>
                <w:sz w:val="22"/>
              </w:rPr>
            </w:pPr>
            <w:r w:rsidRPr="005B428C">
              <w:rPr>
                <w:bCs/>
                <w:iCs/>
                <w:sz w:val="22"/>
              </w:rPr>
              <w:t xml:space="preserve">Seller may assign the EEI </w:t>
            </w:r>
            <w:r w:rsidR="00A833C2">
              <w:rPr>
                <w:bCs/>
                <w:iCs/>
                <w:sz w:val="22"/>
              </w:rPr>
              <w:t xml:space="preserve">documentation </w:t>
            </w:r>
            <w:r w:rsidRPr="005B428C">
              <w:rPr>
                <w:bCs/>
                <w:iCs/>
                <w:sz w:val="22"/>
              </w:rPr>
              <w:t>without Buyer’s consent (</w:t>
            </w:r>
            <w:proofErr w:type="spellStart"/>
            <w:r w:rsidR="00EB2C4F">
              <w:rPr>
                <w:bCs/>
                <w:iCs/>
                <w:sz w:val="22"/>
              </w:rPr>
              <w:t>i</w:t>
            </w:r>
            <w:proofErr w:type="spellEnd"/>
            <w:r w:rsidRPr="005B428C">
              <w:rPr>
                <w:bCs/>
                <w:iCs/>
                <w:sz w:val="22"/>
              </w:rPr>
              <w:t xml:space="preserve">) to </w:t>
            </w:r>
            <w:r w:rsidR="00EB2C4F">
              <w:rPr>
                <w:bCs/>
                <w:iCs/>
                <w:sz w:val="22"/>
              </w:rPr>
              <w:t>creditors</w:t>
            </w:r>
            <w:r w:rsidRPr="005B428C">
              <w:rPr>
                <w:bCs/>
                <w:iCs/>
                <w:sz w:val="22"/>
              </w:rPr>
              <w:t xml:space="preserve"> or tax investors in connection with </w:t>
            </w:r>
            <w:r w:rsidR="00EB2C4F">
              <w:rPr>
                <w:bCs/>
                <w:iCs/>
                <w:sz w:val="22"/>
              </w:rPr>
              <w:t xml:space="preserve">the Project’s </w:t>
            </w:r>
            <w:r w:rsidRPr="005B428C">
              <w:rPr>
                <w:bCs/>
                <w:iCs/>
                <w:sz w:val="22"/>
              </w:rPr>
              <w:t>financing, (</w:t>
            </w:r>
            <w:r w:rsidR="00EB2C4F">
              <w:rPr>
                <w:bCs/>
                <w:iCs/>
                <w:sz w:val="22"/>
              </w:rPr>
              <w:t>ii</w:t>
            </w:r>
            <w:r w:rsidRPr="005B428C">
              <w:rPr>
                <w:bCs/>
                <w:iCs/>
                <w:sz w:val="22"/>
              </w:rPr>
              <w:t>) to an affiliate, (</w:t>
            </w:r>
            <w:r w:rsidR="00EB2C4F">
              <w:rPr>
                <w:bCs/>
                <w:iCs/>
                <w:sz w:val="22"/>
              </w:rPr>
              <w:t>iii</w:t>
            </w:r>
            <w:r w:rsidRPr="005B428C">
              <w:rPr>
                <w:bCs/>
                <w:iCs/>
                <w:sz w:val="22"/>
              </w:rPr>
              <w:t>) to a person succeeding to all or substantially all of the assets of Seller, or (</w:t>
            </w:r>
            <w:r w:rsidR="00EB2C4F">
              <w:rPr>
                <w:bCs/>
                <w:iCs/>
                <w:sz w:val="22"/>
              </w:rPr>
              <w:t>iv</w:t>
            </w:r>
            <w:r w:rsidRPr="005B428C">
              <w:rPr>
                <w:bCs/>
                <w:iCs/>
                <w:sz w:val="22"/>
              </w:rPr>
              <w:t xml:space="preserve">) to a person with equal or greater creditworthiness as that of Seller.  Other assignment by Seller is only permitted with </w:t>
            </w:r>
            <w:r w:rsidR="003E2009">
              <w:rPr>
                <w:bCs/>
                <w:iCs/>
                <w:sz w:val="22"/>
              </w:rPr>
              <w:t xml:space="preserve">Buyer’s </w:t>
            </w:r>
            <w:r w:rsidRPr="005B428C">
              <w:rPr>
                <w:bCs/>
                <w:iCs/>
                <w:sz w:val="22"/>
              </w:rPr>
              <w:t>prior written consent</w:t>
            </w:r>
            <w:r w:rsidR="00EB2C4F">
              <w:rPr>
                <w:bCs/>
                <w:iCs/>
                <w:sz w:val="22"/>
              </w:rPr>
              <w:t>,</w:t>
            </w:r>
            <w:r w:rsidR="00EB2C4F" w:rsidRPr="005B428C">
              <w:rPr>
                <w:sz w:val="22"/>
              </w:rPr>
              <w:t xml:space="preserve"> which shall not be </w:t>
            </w:r>
            <w:r w:rsidR="00EB2C4F" w:rsidRPr="005B428C">
              <w:rPr>
                <w:sz w:val="22"/>
              </w:rPr>
              <w:lastRenderedPageBreak/>
              <w:t>unreasonably withheld</w:t>
            </w:r>
            <w:r w:rsidR="00EB2C4F">
              <w:rPr>
                <w:sz w:val="22"/>
              </w:rPr>
              <w:t xml:space="preserve"> or delayed</w:t>
            </w:r>
            <w:r w:rsidRPr="005B428C">
              <w:rPr>
                <w:bCs/>
                <w:iCs/>
                <w:sz w:val="22"/>
              </w:rPr>
              <w:t xml:space="preserve">.  </w:t>
            </w:r>
          </w:p>
        </w:tc>
      </w:tr>
    </w:tbl>
    <w:p w:rsidR="00466992" w:rsidRPr="00935925" w:rsidRDefault="00466992" w:rsidP="00193C1B">
      <w:pPr>
        <w:rPr>
          <w:b/>
          <w:sz w:val="22"/>
        </w:rPr>
        <w:sectPr w:rsidR="00466992" w:rsidRPr="00935925" w:rsidSect="00585FB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rsidR="00466992" w:rsidRPr="00E15622" w:rsidRDefault="00466992" w:rsidP="00466992">
      <w:pPr>
        <w:spacing w:before="180" w:after="0" w:line="320" w:lineRule="atLeast"/>
        <w:jc w:val="center"/>
        <w:rPr>
          <w:rFonts w:ascii="Arial" w:eastAsia="Times New Roman" w:hAnsi="Arial" w:cs="Arial"/>
          <w:b/>
          <w:sz w:val="22"/>
          <w:szCs w:val="20"/>
        </w:rPr>
      </w:pPr>
      <w:r w:rsidRPr="00E15622">
        <w:rPr>
          <w:rFonts w:ascii="Arial" w:eastAsia="Times New Roman" w:hAnsi="Arial" w:cs="Arial"/>
          <w:b/>
          <w:sz w:val="22"/>
          <w:szCs w:val="20"/>
        </w:rPr>
        <w:lastRenderedPageBreak/>
        <w:t>Appendix A</w:t>
      </w:r>
      <w:r w:rsidR="00672639" w:rsidRPr="00E15622">
        <w:rPr>
          <w:rFonts w:ascii="Arial" w:eastAsia="Times New Roman" w:hAnsi="Arial" w:cs="Arial"/>
          <w:b/>
          <w:sz w:val="22"/>
          <w:szCs w:val="20"/>
        </w:rPr>
        <w:t xml:space="preserve">  </w:t>
      </w:r>
    </w:p>
    <w:p w:rsidR="004518D6" w:rsidRDefault="004518D6" w:rsidP="00D927D7">
      <w:pPr>
        <w:tabs>
          <w:tab w:val="left" w:pos="0"/>
        </w:tabs>
        <w:rPr>
          <w:b/>
          <w:sz w:val="22"/>
        </w:rPr>
      </w:pPr>
    </w:p>
    <w:p w:rsidR="004518D6" w:rsidRPr="00935925" w:rsidRDefault="009D0FCB" w:rsidP="009D0FCB">
      <w:pPr>
        <w:rPr>
          <w:b/>
          <w:sz w:val="22"/>
        </w:rPr>
      </w:pPr>
      <w:r w:rsidRPr="009D0FCB">
        <w:rPr>
          <w:noProof/>
          <w:lang w:eastAsia="ja-JP"/>
        </w:rPr>
        <w:drawing>
          <wp:inline distT="0" distB="0" distL="0" distR="0">
            <wp:extent cx="5943600" cy="362004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943600" cy="3620042"/>
                    </a:xfrm>
                    <a:prstGeom prst="rect">
                      <a:avLst/>
                    </a:prstGeom>
                    <a:noFill/>
                    <a:ln w="9525">
                      <a:noFill/>
                      <a:miter lim="800000"/>
                      <a:headEnd/>
                      <a:tailEnd/>
                    </a:ln>
                  </pic:spPr>
                </pic:pic>
              </a:graphicData>
            </a:graphic>
          </wp:inline>
        </w:drawing>
      </w:r>
    </w:p>
    <w:sectPr w:rsidR="004518D6" w:rsidRPr="00935925" w:rsidSect="00585FB0">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1831">
      <wne:acd wne:acdName="acd0"/>
    </wne:keymap>
    <wne:keymap wne:kcmPrimary="1832">
      <wne:acd wne:acdName="acd1"/>
    </wne:keymap>
    <wne:keymap wne:kcmPrimary="1833">
      <wne:acd wne:acdName="acd2"/>
    </wne:keymap>
    <wne:keymap wne:kcmPrimary="1834">
      <wne:acd wne:acdName="acd3"/>
    </wne:keymap>
    <wne:keymap wne:kcmPrimary="1835">
      <wne:acd wne:acdName="acd4"/>
    </wne:keymap>
    <wne:keymap wne:kcmPrimary="1836">
      <wne:acd wne:acdName="acd5"/>
    </wne:keymap>
    <wne:keymap wne:kcmPrimary="1837">
      <wne:acd wne:acdName="acd6"/>
    </wne:keymap>
    <wne:keymap wne:kcmPrimary="1838">
      <wne:acd wne:acdName="acd7"/>
    </wne:keymap>
    <wne:keymap wne:kcmPrimary="183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QAAAAYA" wne:acdName="acd5" wne:fciIndexBasedOn="0065"/>
    <wne:acd wne:argValue="AQAAAAcA" wne:acdName="acd6" wne:fciIndexBasedOn="0065"/>
    <wne:acd wne:argValue="AQAAAAgA" wne:acdName="acd7" wne:fciIndexBasedOn="0065"/>
    <wne:acd wne:argValue="AQAAAAkA" wne:acdName="acd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712" w:rsidRDefault="00D07712" w:rsidP="00BE6688">
      <w:pPr>
        <w:spacing w:after="0" w:line="240" w:lineRule="auto"/>
      </w:pPr>
      <w:r>
        <w:separator/>
      </w:r>
    </w:p>
  </w:endnote>
  <w:endnote w:type="continuationSeparator" w:id="0">
    <w:p w:rsidR="00D07712" w:rsidRDefault="00D07712" w:rsidP="00BE6688">
      <w:pPr>
        <w:spacing w:after="0" w:line="240" w:lineRule="auto"/>
      </w:pPr>
      <w:r>
        <w:continuationSeparator/>
      </w:r>
    </w:p>
  </w:endnote>
  <w:endnote w:type="continuationNotice" w:id="1">
    <w:p w:rsidR="00D07712" w:rsidRDefault="00D07712">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NewCenturySchlbk">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F2B" w:rsidRDefault="00662F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986" w:rsidRDefault="00CF78C7">
    <w:pPr>
      <w:pStyle w:val="Footer"/>
      <w:jc w:val="center"/>
    </w:pPr>
    <w:r>
      <w:fldChar w:fldCharType="begin"/>
    </w:r>
    <w:r w:rsidR="004C7986">
      <w:instrText xml:space="preserve"> PAGE   \* MERGEFORMAT </w:instrText>
    </w:r>
    <w:r>
      <w:fldChar w:fldCharType="separate"/>
    </w:r>
    <w:r w:rsidR="001B35AE">
      <w:rPr>
        <w:noProof/>
      </w:rPr>
      <w:t>3</w:t>
    </w:r>
    <w:r>
      <w:rPr>
        <w:noProof/>
      </w:rPr>
      <w:fldChar w:fldCharType="end"/>
    </w:r>
  </w:p>
  <w:p w:rsidR="004C7986" w:rsidRDefault="004C7986" w:rsidP="000F39F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986" w:rsidRDefault="004C7986">
    <w:pPr>
      <w:pStyle w:val="Footer"/>
    </w:pPr>
  </w:p>
  <w:p w:rsidR="004C7986" w:rsidRDefault="004C7986" w:rsidP="000F39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712" w:rsidRDefault="00D07712" w:rsidP="00BE6688">
      <w:pPr>
        <w:spacing w:after="0" w:line="240" w:lineRule="auto"/>
      </w:pPr>
      <w:r>
        <w:separator/>
      </w:r>
    </w:p>
  </w:footnote>
  <w:footnote w:type="continuationSeparator" w:id="0">
    <w:p w:rsidR="00D07712" w:rsidRDefault="00D07712" w:rsidP="00BE6688">
      <w:pPr>
        <w:spacing w:after="0" w:line="240" w:lineRule="auto"/>
      </w:pPr>
      <w:r>
        <w:continuationSeparator/>
      </w:r>
    </w:p>
  </w:footnote>
  <w:footnote w:type="continuationNotice" w:id="1">
    <w:p w:rsidR="00D07712" w:rsidRDefault="00D07712">
      <w:pPr>
        <w:spacing w:after="0" w:line="240" w:lineRule="auto"/>
      </w:pPr>
    </w:p>
  </w:footnote>
  <w:footnote w:id="2">
    <w:p w:rsidR="00AB76FB" w:rsidRDefault="00AB76FB" w:rsidP="00AB76FB">
      <w:pPr>
        <w:pStyle w:val="FootnoteText"/>
      </w:pPr>
      <w:r>
        <w:rPr>
          <w:rStyle w:val="FootnoteReference"/>
        </w:rPr>
        <w:footnoteRef/>
      </w:r>
      <w:r w:rsidR="00D927D7">
        <w:t xml:space="preserve"> Note</w:t>
      </w:r>
      <w:r>
        <w:t>: H</w:t>
      </w:r>
      <w:r w:rsidRPr="00AB76FB">
        <w:t>edge provider to confirm if it wants to be the ene</w:t>
      </w:r>
      <w:r>
        <w:t>rgy manager/QSE for the entire P</w:t>
      </w:r>
      <w:r w:rsidRPr="00AB76FB">
        <w:t>roject</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F2B" w:rsidRDefault="00662F2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F2B" w:rsidRDefault="00662F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F2B" w:rsidRDefault="00662F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1724D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B3E2DEA"/>
    <w:name w:val="List Number 5"/>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BB0AFE9C"/>
    <w:name w:val="List Number 4"/>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A886576"/>
    <w:name w:val="List Number 3"/>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B0D46184"/>
    <w:name w:val="List Number 2"/>
    <w:lvl w:ilvl="0">
      <w:start w:val="1"/>
      <w:numFmt w:val="decimal"/>
      <w:pStyle w:val="ListNumber2"/>
      <w:lvlText w:val="%1."/>
      <w:lvlJc w:val="left"/>
      <w:pPr>
        <w:tabs>
          <w:tab w:val="num" w:pos="720"/>
        </w:tabs>
        <w:ind w:left="720" w:hanging="360"/>
      </w:pPr>
    </w:lvl>
  </w:abstractNum>
  <w:abstractNum w:abstractNumId="5">
    <w:nsid w:val="FFFFFF80"/>
    <w:multiLevelType w:val="singleLevel"/>
    <w:tmpl w:val="8346B3A4"/>
    <w:name w:val="List Bullet 5"/>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09A67BD8"/>
    <w:name w:val="List Bullet 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50A43916"/>
    <w:name w:val="List Bullet 3"/>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9CD896A6"/>
    <w:name w:val="List Bullet 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8F6216B0"/>
    <w:name w:val="List Number"/>
    <w:lvl w:ilvl="0">
      <w:start w:val="1"/>
      <w:numFmt w:val="decimal"/>
      <w:pStyle w:val="ListNumber"/>
      <w:lvlText w:val="%1."/>
      <w:lvlJc w:val="left"/>
      <w:pPr>
        <w:tabs>
          <w:tab w:val="num" w:pos="360"/>
        </w:tabs>
        <w:ind w:left="360" w:hanging="360"/>
      </w:pPr>
    </w:lvl>
  </w:abstractNum>
  <w:abstractNum w:abstractNumId="10">
    <w:nsid w:val="FFFFFF89"/>
    <w:multiLevelType w:val="singleLevel"/>
    <w:tmpl w:val="2ED88C7A"/>
    <w:name w:val="List Bullet"/>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2136444D"/>
    <w:multiLevelType w:val="hybridMultilevel"/>
    <w:tmpl w:val="3F4C90BE"/>
    <w:lvl w:ilvl="0" w:tplc="1AAECF74">
      <w:start w:val="6"/>
      <w:numFmt w:val="decimal"/>
      <w:lvlText w:val="%1."/>
      <w:lvlJc w:val="left"/>
      <w:pPr>
        <w:tabs>
          <w:tab w:val="num" w:pos="342"/>
        </w:tabs>
        <w:ind w:left="342" w:hanging="360"/>
      </w:pPr>
      <w:rPr>
        <w:rFonts w:cs="Times New Roman" w:hint="default"/>
      </w:rPr>
    </w:lvl>
    <w:lvl w:ilvl="1" w:tplc="04090019" w:tentative="1">
      <w:start w:val="1"/>
      <w:numFmt w:val="lowerLetter"/>
      <w:lvlText w:val="%2."/>
      <w:lvlJc w:val="left"/>
      <w:pPr>
        <w:tabs>
          <w:tab w:val="num" w:pos="1062"/>
        </w:tabs>
        <w:ind w:left="1062" w:hanging="360"/>
      </w:pPr>
      <w:rPr>
        <w:rFonts w:cs="Times New Roman"/>
      </w:rPr>
    </w:lvl>
    <w:lvl w:ilvl="2" w:tplc="0409001B" w:tentative="1">
      <w:start w:val="1"/>
      <w:numFmt w:val="lowerRoman"/>
      <w:lvlText w:val="%3."/>
      <w:lvlJc w:val="right"/>
      <w:pPr>
        <w:tabs>
          <w:tab w:val="num" w:pos="1782"/>
        </w:tabs>
        <w:ind w:left="1782" w:hanging="180"/>
      </w:pPr>
      <w:rPr>
        <w:rFonts w:cs="Times New Roman"/>
      </w:rPr>
    </w:lvl>
    <w:lvl w:ilvl="3" w:tplc="0409000F" w:tentative="1">
      <w:start w:val="1"/>
      <w:numFmt w:val="decimal"/>
      <w:lvlText w:val="%4."/>
      <w:lvlJc w:val="left"/>
      <w:pPr>
        <w:tabs>
          <w:tab w:val="num" w:pos="2502"/>
        </w:tabs>
        <w:ind w:left="2502" w:hanging="360"/>
      </w:pPr>
      <w:rPr>
        <w:rFonts w:cs="Times New Roman"/>
      </w:rPr>
    </w:lvl>
    <w:lvl w:ilvl="4" w:tplc="04090019" w:tentative="1">
      <w:start w:val="1"/>
      <w:numFmt w:val="lowerLetter"/>
      <w:lvlText w:val="%5."/>
      <w:lvlJc w:val="left"/>
      <w:pPr>
        <w:tabs>
          <w:tab w:val="num" w:pos="3222"/>
        </w:tabs>
        <w:ind w:left="3222" w:hanging="360"/>
      </w:pPr>
      <w:rPr>
        <w:rFonts w:cs="Times New Roman"/>
      </w:rPr>
    </w:lvl>
    <w:lvl w:ilvl="5" w:tplc="0409001B" w:tentative="1">
      <w:start w:val="1"/>
      <w:numFmt w:val="lowerRoman"/>
      <w:lvlText w:val="%6."/>
      <w:lvlJc w:val="right"/>
      <w:pPr>
        <w:tabs>
          <w:tab w:val="num" w:pos="3942"/>
        </w:tabs>
        <w:ind w:left="3942" w:hanging="180"/>
      </w:pPr>
      <w:rPr>
        <w:rFonts w:cs="Times New Roman"/>
      </w:rPr>
    </w:lvl>
    <w:lvl w:ilvl="6" w:tplc="0409000F" w:tentative="1">
      <w:start w:val="1"/>
      <w:numFmt w:val="decimal"/>
      <w:lvlText w:val="%7."/>
      <w:lvlJc w:val="left"/>
      <w:pPr>
        <w:tabs>
          <w:tab w:val="num" w:pos="4662"/>
        </w:tabs>
        <w:ind w:left="4662" w:hanging="360"/>
      </w:pPr>
      <w:rPr>
        <w:rFonts w:cs="Times New Roman"/>
      </w:rPr>
    </w:lvl>
    <w:lvl w:ilvl="7" w:tplc="04090019" w:tentative="1">
      <w:start w:val="1"/>
      <w:numFmt w:val="lowerLetter"/>
      <w:lvlText w:val="%8."/>
      <w:lvlJc w:val="left"/>
      <w:pPr>
        <w:tabs>
          <w:tab w:val="num" w:pos="5382"/>
        </w:tabs>
        <w:ind w:left="5382" w:hanging="360"/>
      </w:pPr>
      <w:rPr>
        <w:rFonts w:cs="Times New Roman"/>
      </w:rPr>
    </w:lvl>
    <w:lvl w:ilvl="8" w:tplc="0409001B" w:tentative="1">
      <w:start w:val="1"/>
      <w:numFmt w:val="lowerRoman"/>
      <w:lvlText w:val="%9."/>
      <w:lvlJc w:val="right"/>
      <w:pPr>
        <w:tabs>
          <w:tab w:val="num" w:pos="6102"/>
        </w:tabs>
        <w:ind w:left="6102" w:hanging="180"/>
      </w:pPr>
      <w:rPr>
        <w:rFonts w:cs="Times New Roman"/>
      </w:rPr>
    </w:lvl>
  </w:abstractNum>
  <w:abstractNum w:abstractNumId="12">
    <w:nsid w:val="3DA51A3F"/>
    <w:multiLevelType w:val="multilevel"/>
    <w:tmpl w:val="476A3F7A"/>
    <w:name w:val="zzmpNoNum||No Num|2|3|1|1|2|32||0|0|33||0|0|36||0|0|35||0|0|34||0|0|0||0|0|0||0|0|0||0|0|0||"/>
    <w:lvl w:ilvl="0">
      <w:start w:val="1"/>
      <w:numFmt w:val="decimal"/>
      <w:pStyle w:val="Heading1"/>
      <w:lvlText w:val="(%1)"/>
      <w:lvlJc w:val="left"/>
      <w:pPr>
        <w:tabs>
          <w:tab w:val="num" w:pos="720"/>
        </w:tabs>
        <w:ind w:left="720" w:hanging="720"/>
      </w:pPr>
      <w:rPr>
        <w:b w:val="0"/>
        <w:i w:val="0"/>
        <w:caps w:val="0"/>
        <w:smallCaps w:val="0"/>
        <w:u w:val="none"/>
      </w:rPr>
    </w:lvl>
    <w:lvl w:ilvl="1">
      <w:start w:val="1"/>
      <w:numFmt w:val="none"/>
      <w:lvlRestart w:val="0"/>
      <w:pStyle w:val="Heading2"/>
      <w:suff w:val="nothing"/>
      <w:lvlText w:val=""/>
      <w:lvlJc w:val="left"/>
      <w:pPr>
        <w:tabs>
          <w:tab w:val="num" w:pos="720"/>
        </w:tabs>
        <w:ind w:left="0" w:firstLine="0"/>
      </w:pPr>
      <w:rPr>
        <w:b w:val="0"/>
        <w:i w:val="0"/>
        <w:caps w:val="0"/>
        <w:u w:val="none"/>
      </w:rPr>
    </w:lvl>
    <w:lvl w:ilvl="2">
      <w:start w:val="1"/>
      <w:numFmt w:val="none"/>
      <w:lvlRestart w:val="0"/>
      <w:pStyle w:val="Heading3"/>
      <w:suff w:val="nothing"/>
      <w:lvlText w:val=""/>
      <w:lvlJc w:val="left"/>
      <w:pPr>
        <w:tabs>
          <w:tab w:val="num" w:pos="720"/>
        </w:tabs>
        <w:ind w:left="0" w:firstLine="0"/>
      </w:pPr>
      <w:rPr>
        <w:b w:val="0"/>
        <w:i w:val="0"/>
        <w:caps w:val="0"/>
        <w:u w:val="none"/>
      </w:rPr>
    </w:lvl>
    <w:lvl w:ilvl="3">
      <w:start w:val="1"/>
      <w:numFmt w:val="none"/>
      <w:lvlRestart w:val="0"/>
      <w:pStyle w:val="Heading4"/>
      <w:suff w:val="nothing"/>
      <w:lvlText w:val=""/>
      <w:lvlJc w:val="left"/>
      <w:pPr>
        <w:tabs>
          <w:tab w:val="num" w:pos="720"/>
        </w:tabs>
        <w:ind w:left="0" w:firstLine="0"/>
      </w:pPr>
      <w:rPr>
        <w:b w:val="0"/>
        <w:i w:val="0"/>
        <w:caps w:val="0"/>
        <w:u w:val="none"/>
      </w:rPr>
    </w:lvl>
    <w:lvl w:ilvl="4">
      <w:start w:val="1"/>
      <w:numFmt w:val="none"/>
      <w:lvlRestart w:val="0"/>
      <w:pStyle w:val="Heading5"/>
      <w:suff w:val="nothing"/>
      <w:lvlText w:val=""/>
      <w:lvlJc w:val="left"/>
      <w:pPr>
        <w:tabs>
          <w:tab w:val="num" w:pos="720"/>
        </w:tabs>
        <w:ind w:left="0" w:firstLine="0"/>
      </w:pPr>
      <w:rPr>
        <w:b w:val="0"/>
        <w:i w:val="0"/>
        <w:caps w:val="0"/>
        <w:u w:val="none"/>
      </w:rPr>
    </w:lvl>
    <w:lvl w:ilvl="5">
      <w:start w:val="1"/>
      <w:numFmt w:val="none"/>
      <w:lvlRestart w:val="0"/>
      <w:pStyle w:val="Heading6"/>
      <w:suff w:val="nothing"/>
      <w:lvlText w:val=""/>
      <w:lvlJc w:val="left"/>
      <w:pPr>
        <w:tabs>
          <w:tab w:val="num" w:pos="720"/>
        </w:tabs>
        <w:ind w:left="0" w:firstLine="0"/>
      </w:pPr>
      <w:rPr>
        <w:b w:val="0"/>
        <w:i w:val="0"/>
        <w:caps w:val="0"/>
        <w:u w:val="none"/>
      </w:rPr>
    </w:lvl>
    <w:lvl w:ilvl="6">
      <w:start w:val="1"/>
      <w:numFmt w:val="none"/>
      <w:lvlRestart w:val="0"/>
      <w:pStyle w:val="Heading7"/>
      <w:suff w:val="nothing"/>
      <w:lvlText w:val=""/>
      <w:lvlJc w:val="left"/>
      <w:pPr>
        <w:tabs>
          <w:tab w:val="num" w:pos="720"/>
        </w:tabs>
        <w:ind w:left="0" w:firstLine="0"/>
      </w:pPr>
      <w:rPr>
        <w:b w:val="0"/>
        <w:i w:val="0"/>
        <w:caps w:val="0"/>
        <w:u w:val="none"/>
      </w:rPr>
    </w:lvl>
    <w:lvl w:ilvl="7">
      <w:start w:val="1"/>
      <w:numFmt w:val="none"/>
      <w:lvlRestart w:val="0"/>
      <w:pStyle w:val="Heading8"/>
      <w:suff w:val="nothing"/>
      <w:lvlText w:val=""/>
      <w:lvlJc w:val="left"/>
      <w:pPr>
        <w:tabs>
          <w:tab w:val="num" w:pos="720"/>
        </w:tabs>
        <w:ind w:left="0" w:firstLine="0"/>
      </w:pPr>
      <w:rPr>
        <w:b w:val="0"/>
        <w:i w:val="0"/>
        <w:caps w:val="0"/>
        <w:u w:val="none"/>
      </w:rPr>
    </w:lvl>
    <w:lvl w:ilvl="8">
      <w:start w:val="1"/>
      <w:numFmt w:val="none"/>
      <w:lvlRestart w:val="0"/>
      <w:pStyle w:val="Heading9"/>
      <w:suff w:val="nothing"/>
      <w:lvlText w:val=""/>
      <w:lvlJc w:val="left"/>
      <w:pPr>
        <w:tabs>
          <w:tab w:val="num" w:pos="720"/>
        </w:tabs>
        <w:ind w:left="0" w:firstLine="0"/>
      </w:pPr>
      <w:rPr>
        <w:b w:val="0"/>
        <w:i w:val="0"/>
        <w:caps w:val="0"/>
        <w:u w:val="none"/>
      </w:rPr>
    </w:lvl>
  </w:abstractNum>
  <w:abstractNum w:abstractNumId="13">
    <w:nsid w:val="4BD57CA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24C02B0"/>
    <w:multiLevelType w:val="hybridMultilevel"/>
    <w:tmpl w:val="6F522FD2"/>
    <w:lvl w:ilvl="0" w:tplc="FFFFFFFF">
      <w:start w:val="5"/>
      <w:numFmt w:val="bullet"/>
      <w:lvlText w:val="-"/>
      <w:lvlJc w:val="left"/>
      <w:pPr>
        <w:ind w:left="402" w:hanging="360"/>
      </w:pPr>
      <w:rPr>
        <w:rFonts w:ascii="Times New Roman" w:eastAsia="Times New Roman" w:hAnsi="Times New Roman" w:hint="default"/>
      </w:rPr>
    </w:lvl>
    <w:lvl w:ilvl="1" w:tplc="FFFFFFFF" w:tentative="1">
      <w:start w:val="1"/>
      <w:numFmt w:val="bullet"/>
      <w:lvlText w:val="o"/>
      <w:lvlJc w:val="left"/>
      <w:pPr>
        <w:ind w:left="1122" w:hanging="360"/>
      </w:pPr>
      <w:rPr>
        <w:rFonts w:ascii="Courier New" w:hAnsi="Courier New" w:hint="default"/>
      </w:rPr>
    </w:lvl>
    <w:lvl w:ilvl="2" w:tplc="FFFFFFFF" w:tentative="1">
      <w:start w:val="1"/>
      <w:numFmt w:val="bullet"/>
      <w:lvlText w:val=""/>
      <w:lvlJc w:val="left"/>
      <w:pPr>
        <w:ind w:left="1842" w:hanging="360"/>
      </w:pPr>
      <w:rPr>
        <w:rFonts w:ascii="Wingdings" w:hAnsi="Wingdings" w:hint="default"/>
      </w:rPr>
    </w:lvl>
    <w:lvl w:ilvl="3" w:tplc="FFFFFFFF" w:tentative="1">
      <w:start w:val="1"/>
      <w:numFmt w:val="bullet"/>
      <w:lvlText w:val=""/>
      <w:lvlJc w:val="left"/>
      <w:pPr>
        <w:ind w:left="2562" w:hanging="360"/>
      </w:pPr>
      <w:rPr>
        <w:rFonts w:ascii="Symbol" w:hAnsi="Symbol" w:hint="default"/>
      </w:rPr>
    </w:lvl>
    <w:lvl w:ilvl="4" w:tplc="FFFFFFFF" w:tentative="1">
      <w:start w:val="1"/>
      <w:numFmt w:val="bullet"/>
      <w:lvlText w:val="o"/>
      <w:lvlJc w:val="left"/>
      <w:pPr>
        <w:ind w:left="3282" w:hanging="360"/>
      </w:pPr>
      <w:rPr>
        <w:rFonts w:ascii="Courier New" w:hAnsi="Courier New" w:hint="default"/>
      </w:rPr>
    </w:lvl>
    <w:lvl w:ilvl="5" w:tplc="FFFFFFFF" w:tentative="1">
      <w:start w:val="1"/>
      <w:numFmt w:val="bullet"/>
      <w:lvlText w:val=""/>
      <w:lvlJc w:val="left"/>
      <w:pPr>
        <w:ind w:left="4002" w:hanging="360"/>
      </w:pPr>
      <w:rPr>
        <w:rFonts w:ascii="Wingdings" w:hAnsi="Wingdings" w:hint="default"/>
      </w:rPr>
    </w:lvl>
    <w:lvl w:ilvl="6" w:tplc="FFFFFFFF" w:tentative="1">
      <w:start w:val="1"/>
      <w:numFmt w:val="bullet"/>
      <w:lvlText w:val=""/>
      <w:lvlJc w:val="left"/>
      <w:pPr>
        <w:ind w:left="4722" w:hanging="360"/>
      </w:pPr>
      <w:rPr>
        <w:rFonts w:ascii="Symbol" w:hAnsi="Symbol" w:hint="default"/>
      </w:rPr>
    </w:lvl>
    <w:lvl w:ilvl="7" w:tplc="FFFFFFFF" w:tentative="1">
      <w:start w:val="1"/>
      <w:numFmt w:val="bullet"/>
      <w:lvlText w:val="o"/>
      <w:lvlJc w:val="left"/>
      <w:pPr>
        <w:ind w:left="5442" w:hanging="360"/>
      </w:pPr>
      <w:rPr>
        <w:rFonts w:ascii="Courier New" w:hAnsi="Courier New" w:hint="default"/>
      </w:rPr>
    </w:lvl>
    <w:lvl w:ilvl="8" w:tplc="FFFFFFFF" w:tentative="1">
      <w:start w:val="1"/>
      <w:numFmt w:val="bullet"/>
      <w:lvlText w:val=""/>
      <w:lvlJc w:val="left"/>
      <w:pPr>
        <w:ind w:left="6162" w:hanging="360"/>
      </w:pPr>
      <w:rPr>
        <w:rFonts w:ascii="Wingdings" w:hAnsi="Wingdings" w:hint="default"/>
      </w:rPr>
    </w:lvl>
  </w:abstractNum>
  <w:abstractNum w:abstractNumId="15">
    <w:nsid w:val="6452692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48520E3"/>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6DF92C7B"/>
    <w:multiLevelType w:val="hybridMultilevel"/>
    <w:tmpl w:val="103AC876"/>
    <w:lvl w:ilvl="0" w:tplc="0409000F">
      <w:start w:val="5"/>
      <w:numFmt w:val="bullet"/>
      <w:lvlText w:val="-"/>
      <w:lvlJc w:val="left"/>
      <w:pPr>
        <w:ind w:left="1082" w:hanging="360"/>
      </w:pPr>
      <w:rPr>
        <w:rFonts w:ascii="Times New Roman" w:eastAsia="Times New Roman" w:hAnsi="Times New Roman" w:hint="default"/>
      </w:rPr>
    </w:lvl>
    <w:lvl w:ilvl="1" w:tplc="04090019" w:tentative="1">
      <w:start w:val="1"/>
      <w:numFmt w:val="bullet"/>
      <w:lvlText w:val="o"/>
      <w:lvlJc w:val="left"/>
      <w:pPr>
        <w:ind w:left="1802" w:hanging="360"/>
      </w:pPr>
      <w:rPr>
        <w:rFonts w:ascii="Courier New" w:hAnsi="Courier New" w:hint="default"/>
      </w:rPr>
    </w:lvl>
    <w:lvl w:ilvl="2" w:tplc="0409001B" w:tentative="1">
      <w:start w:val="1"/>
      <w:numFmt w:val="bullet"/>
      <w:lvlText w:val=""/>
      <w:lvlJc w:val="left"/>
      <w:pPr>
        <w:ind w:left="2522" w:hanging="360"/>
      </w:pPr>
      <w:rPr>
        <w:rFonts w:ascii="Wingdings" w:hAnsi="Wingdings" w:hint="default"/>
      </w:rPr>
    </w:lvl>
    <w:lvl w:ilvl="3" w:tplc="0409000F" w:tentative="1">
      <w:start w:val="1"/>
      <w:numFmt w:val="bullet"/>
      <w:lvlText w:val=""/>
      <w:lvlJc w:val="left"/>
      <w:pPr>
        <w:ind w:left="3242" w:hanging="360"/>
      </w:pPr>
      <w:rPr>
        <w:rFonts w:ascii="Symbol" w:hAnsi="Symbol" w:hint="default"/>
      </w:rPr>
    </w:lvl>
    <w:lvl w:ilvl="4" w:tplc="04090019" w:tentative="1">
      <w:start w:val="1"/>
      <w:numFmt w:val="bullet"/>
      <w:lvlText w:val="o"/>
      <w:lvlJc w:val="left"/>
      <w:pPr>
        <w:ind w:left="3962" w:hanging="360"/>
      </w:pPr>
      <w:rPr>
        <w:rFonts w:ascii="Courier New" w:hAnsi="Courier New" w:hint="default"/>
      </w:rPr>
    </w:lvl>
    <w:lvl w:ilvl="5" w:tplc="0409001B" w:tentative="1">
      <w:start w:val="1"/>
      <w:numFmt w:val="bullet"/>
      <w:lvlText w:val=""/>
      <w:lvlJc w:val="left"/>
      <w:pPr>
        <w:ind w:left="4682" w:hanging="360"/>
      </w:pPr>
      <w:rPr>
        <w:rFonts w:ascii="Wingdings" w:hAnsi="Wingdings" w:hint="default"/>
      </w:rPr>
    </w:lvl>
    <w:lvl w:ilvl="6" w:tplc="0409000F" w:tentative="1">
      <w:start w:val="1"/>
      <w:numFmt w:val="bullet"/>
      <w:lvlText w:val=""/>
      <w:lvlJc w:val="left"/>
      <w:pPr>
        <w:ind w:left="5402" w:hanging="360"/>
      </w:pPr>
      <w:rPr>
        <w:rFonts w:ascii="Symbol" w:hAnsi="Symbol" w:hint="default"/>
      </w:rPr>
    </w:lvl>
    <w:lvl w:ilvl="7" w:tplc="04090019" w:tentative="1">
      <w:start w:val="1"/>
      <w:numFmt w:val="bullet"/>
      <w:lvlText w:val="o"/>
      <w:lvlJc w:val="left"/>
      <w:pPr>
        <w:ind w:left="6122" w:hanging="360"/>
      </w:pPr>
      <w:rPr>
        <w:rFonts w:ascii="Courier New" w:hAnsi="Courier New" w:hint="default"/>
      </w:rPr>
    </w:lvl>
    <w:lvl w:ilvl="8" w:tplc="0409001B" w:tentative="1">
      <w:start w:val="1"/>
      <w:numFmt w:val="bullet"/>
      <w:lvlText w:val=""/>
      <w:lvlJc w:val="left"/>
      <w:pPr>
        <w:ind w:left="6842" w:hanging="360"/>
      </w:pPr>
      <w:rPr>
        <w:rFonts w:ascii="Wingdings" w:hAnsi="Wingdings" w:hint="default"/>
      </w:r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4"/>
  </w:num>
  <w:num w:numId="5">
    <w:abstractNumId w:val="17"/>
  </w:num>
  <w:num w:numId="6">
    <w:abstractNumId w:val="15"/>
  </w:num>
  <w:num w:numId="7">
    <w:abstractNumId w:val="13"/>
  </w:num>
  <w:num w:numId="8">
    <w:abstractNumId w:val="16"/>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removePersonalInformation/>
  <w:proofState w:spelling="clean" w:grammar="clean"/>
  <w:doNotTrackFormatting/>
  <w:defaultTabStop w:val="720"/>
  <w:characterSpacingControl w:val="doNotCompress"/>
  <w:hdrShapeDefaults>
    <o:shapedefaults v:ext="edit" spidmax="24578"/>
  </w:hdrShapeDefaults>
  <w:footnotePr>
    <w:footnote w:id="-1"/>
    <w:footnote w:id="0"/>
    <w:footnote w:id="1"/>
  </w:footnotePr>
  <w:endnotePr>
    <w:endnote w:id="-1"/>
    <w:endnote w:id="0"/>
    <w:endnote w:id="1"/>
  </w:endnotePr>
  <w:compat/>
  <w:rsids>
    <w:rsidRoot w:val="001A5532"/>
    <w:rsid w:val="00003CA3"/>
    <w:rsid w:val="000122B4"/>
    <w:rsid w:val="00014762"/>
    <w:rsid w:val="0001701B"/>
    <w:rsid w:val="000219AA"/>
    <w:rsid w:val="00035169"/>
    <w:rsid w:val="00036C00"/>
    <w:rsid w:val="000557AE"/>
    <w:rsid w:val="00056DCF"/>
    <w:rsid w:val="00060BBC"/>
    <w:rsid w:val="000629DD"/>
    <w:rsid w:val="00062EBA"/>
    <w:rsid w:val="00065153"/>
    <w:rsid w:val="0007699A"/>
    <w:rsid w:val="0008739C"/>
    <w:rsid w:val="00095478"/>
    <w:rsid w:val="000A5574"/>
    <w:rsid w:val="000B74AC"/>
    <w:rsid w:val="000C11FC"/>
    <w:rsid w:val="000D2392"/>
    <w:rsid w:val="000E4D93"/>
    <w:rsid w:val="000F39F3"/>
    <w:rsid w:val="000F50D9"/>
    <w:rsid w:val="000F542C"/>
    <w:rsid w:val="00100747"/>
    <w:rsid w:val="00100989"/>
    <w:rsid w:val="001024BB"/>
    <w:rsid w:val="0012756F"/>
    <w:rsid w:val="0012796A"/>
    <w:rsid w:val="00133606"/>
    <w:rsid w:val="00137042"/>
    <w:rsid w:val="00137651"/>
    <w:rsid w:val="0014531B"/>
    <w:rsid w:val="00154808"/>
    <w:rsid w:val="0015558C"/>
    <w:rsid w:val="00155F28"/>
    <w:rsid w:val="00157D1C"/>
    <w:rsid w:val="00161A3F"/>
    <w:rsid w:val="001760B8"/>
    <w:rsid w:val="00177A9A"/>
    <w:rsid w:val="00184B77"/>
    <w:rsid w:val="00193C1B"/>
    <w:rsid w:val="00195211"/>
    <w:rsid w:val="001A37A6"/>
    <w:rsid w:val="001A43D3"/>
    <w:rsid w:val="001A5532"/>
    <w:rsid w:val="001B0384"/>
    <w:rsid w:val="001B35AE"/>
    <w:rsid w:val="001B4386"/>
    <w:rsid w:val="001C1C78"/>
    <w:rsid w:val="001C1F10"/>
    <w:rsid w:val="001D12FD"/>
    <w:rsid w:val="001D18E0"/>
    <w:rsid w:val="001D6984"/>
    <w:rsid w:val="001E6F8D"/>
    <w:rsid w:val="00203812"/>
    <w:rsid w:val="00203BDD"/>
    <w:rsid w:val="00206A3A"/>
    <w:rsid w:val="00210D0B"/>
    <w:rsid w:val="002130D2"/>
    <w:rsid w:val="0021476B"/>
    <w:rsid w:val="00236A99"/>
    <w:rsid w:val="00240547"/>
    <w:rsid w:val="00241E66"/>
    <w:rsid w:val="00245090"/>
    <w:rsid w:val="00251A28"/>
    <w:rsid w:val="00252F3F"/>
    <w:rsid w:val="0025314F"/>
    <w:rsid w:val="002547E6"/>
    <w:rsid w:val="0026650C"/>
    <w:rsid w:val="00270BDE"/>
    <w:rsid w:val="002A073E"/>
    <w:rsid w:val="002B01AC"/>
    <w:rsid w:val="002B08BD"/>
    <w:rsid w:val="002D7757"/>
    <w:rsid w:val="002E01CA"/>
    <w:rsid w:val="002E4846"/>
    <w:rsid w:val="003068EB"/>
    <w:rsid w:val="003128C6"/>
    <w:rsid w:val="00324309"/>
    <w:rsid w:val="00334BA8"/>
    <w:rsid w:val="00337DCB"/>
    <w:rsid w:val="00357353"/>
    <w:rsid w:val="00361A46"/>
    <w:rsid w:val="00375C8C"/>
    <w:rsid w:val="00381F2B"/>
    <w:rsid w:val="00395CC0"/>
    <w:rsid w:val="003A378E"/>
    <w:rsid w:val="003A5310"/>
    <w:rsid w:val="003B43E6"/>
    <w:rsid w:val="003B7F58"/>
    <w:rsid w:val="003C1B41"/>
    <w:rsid w:val="003D01DA"/>
    <w:rsid w:val="003D10BA"/>
    <w:rsid w:val="003D4381"/>
    <w:rsid w:val="003D4D20"/>
    <w:rsid w:val="003E2009"/>
    <w:rsid w:val="003E34C2"/>
    <w:rsid w:val="003E4922"/>
    <w:rsid w:val="003E6CDB"/>
    <w:rsid w:val="003F01DF"/>
    <w:rsid w:val="003F47A3"/>
    <w:rsid w:val="00404757"/>
    <w:rsid w:val="004168BE"/>
    <w:rsid w:val="00420819"/>
    <w:rsid w:val="00423822"/>
    <w:rsid w:val="00426409"/>
    <w:rsid w:val="004379AC"/>
    <w:rsid w:val="004518D6"/>
    <w:rsid w:val="004576F9"/>
    <w:rsid w:val="004626E8"/>
    <w:rsid w:val="00466025"/>
    <w:rsid w:val="00466992"/>
    <w:rsid w:val="00470985"/>
    <w:rsid w:val="00472D33"/>
    <w:rsid w:val="0047581E"/>
    <w:rsid w:val="004769A1"/>
    <w:rsid w:val="00480E14"/>
    <w:rsid w:val="004A58D0"/>
    <w:rsid w:val="004B4323"/>
    <w:rsid w:val="004B625D"/>
    <w:rsid w:val="004B69D1"/>
    <w:rsid w:val="004B6E6E"/>
    <w:rsid w:val="004C7986"/>
    <w:rsid w:val="004D09EB"/>
    <w:rsid w:val="004D6843"/>
    <w:rsid w:val="004F5853"/>
    <w:rsid w:val="00500247"/>
    <w:rsid w:val="00507553"/>
    <w:rsid w:val="00512BB0"/>
    <w:rsid w:val="00526780"/>
    <w:rsid w:val="005276C2"/>
    <w:rsid w:val="00531E70"/>
    <w:rsid w:val="00534A7C"/>
    <w:rsid w:val="00544405"/>
    <w:rsid w:val="00545097"/>
    <w:rsid w:val="00554689"/>
    <w:rsid w:val="00580A59"/>
    <w:rsid w:val="00581E35"/>
    <w:rsid w:val="00584103"/>
    <w:rsid w:val="00585975"/>
    <w:rsid w:val="00585FB0"/>
    <w:rsid w:val="005905AE"/>
    <w:rsid w:val="00593C45"/>
    <w:rsid w:val="005949FC"/>
    <w:rsid w:val="00595860"/>
    <w:rsid w:val="005A1428"/>
    <w:rsid w:val="005A2470"/>
    <w:rsid w:val="005B0E54"/>
    <w:rsid w:val="005B27B6"/>
    <w:rsid w:val="005B428C"/>
    <w:rsid w:val="005B6CBF"/>
    <w:rsid w:val="005C352F"/>
    <w:rsid w:val="005C3699"/>
    <w:rsid w:val="005E1117"/>
    <w:rsid w:val="00600E96"/>
    <w:rsid w:val="00601545"/>
    <w:rsid w:val="0060566B"/>
    <w:rsid w:val="006216A7"/>
    <w:rsid w:val="006331B0"/>
    <w:rsid w:val="0064325E"/>
    <w:rsid w:val="00644901"/>
    <w:rsid w:val="00645A41"/>
    <w:rsid w:val="006507C1"/>
    <w:rsid w:val="00657343"/>
    <w:rsid w:val="006616F9"/>
    <w:rsid w:val="00662F2B"/>
    <w:rsid w:val="00665B88"/>
    <w:rsid w:val="00666799"/>
    <w:rsid w:val="00672639"/>
    <w:rsid w:val="00674356"/>
    <w:rsid w:val="0067704E"/>
    <w:rsid w:val="006A0EDB"/>
    <w:rsid w:val="006B066A"/>
    <w:rsid w:val="006C70C4"/>
    <w:rsid w:val="006E07CE"/>
    <w:rsid w:val="006E3B80"/>
    <w:rsid w:val="006E6077"/>
    <w:rsid w:val="006F57AE"/>
    <w:rsid w:val="006F5C63"/>
    <w:rsid w:val="006F6ED0"/>
    <w:rsid w:val="00712299"/>
    <w:rsid w:val="00713946"/>
    <w:rsid w:val="00715994"/>
    <w:rsid w:val="00720B87"/>
    <w:rsid w:val="007352A1"/>
    <w:rsid w:val="00737416"/>
    <w:rsid w:val="00740ABB"/>
    <w:rsid w:val="00751FD2"/>
    <w:rsid w:val="00754D1D"/>
    <w:rsid w:val="0076152E"/>
    <w:rsid w:val="00780D32"/>
    <w:rsid w:val="00783AA4"/>
    <w:rsid w:val="0079322B"/>
    <w:rsid w:val="007A796D"/>
    <w:rsid w:val="007C05EB"/>
    <w:rsid w:val="007D1A0B"/>
    <w:rsid w:val="007E1AAD"/>
    <w:rsid w:val="007E7734"/>
    <w:rsid w:val="007F1BD3"/>
    <w:rsid w:val="007F6516"/>
    <w:rsid w:val="00816786"/>
    <w:rsid w:val="00827BB1"/>
    <w:rsid w:val="00830436"/>
    <w:rsid w:val="00843DA1"/>
    <w:rsid w:val="00860A80"/>
    <w:rsid w:val="00867D4C"/>
    <w:rsid w:val="008801B7"/>
    <w:rsid w:val="00883A76"/>
    <w:rsid w:val="008946AD"/>
    <w:rsid w:val="008A19EC"/>
    <w:rsid w:val="008A348F"/>
    <w:rsid w:val="008B109F"/>
    <w:rsid w:val="008B42C6"/>
    <w:rsid w:val="008B4CD6"/>
    <w:rsid w:val="008B4E7B"/>
    <w:rsid w:val="008C16C1"/>
    <w:rsid w:val="008D5A04"/>
    <w:rsid w:val="008D67EA"/>
    <w:rsid w:val="008E4FCD"/>
    <w:rsid w:val="009067BF"/>
    <w:rsid w:val="0091534E"/>
    <w:rsid w:val="00922A1A"/>
    <w:rsid w:val="00927ABA"/>
    <w:rsid w:val="00930295"/>
    <w:rsid w:val="00935925"/>
    <w:rsid w:val="00935ECC"/>
    <w:rsid w:val="00940DB0"/>
    <w:rsid w:val="009560B3"/>
    <w:rsid w:val="00960403"/>
    <w:rsid w:val="0098107B"/>
    <w:rsid w:val="009D0FCB"/>
    <w:rsid w:val="009D1B96"/>
    <w:rsid w:val="009D2CB0"/>
    <w:rsid w:val="009D6644"/>
    <w:rsid w:val="009E2C94"/>
    <w:rsid w:val="009F2A42"/>
    <w:rsid w:val="009F55AF"/>
    <w:rsid w:val="00A04984"/>
    <w:rsid w:val="00A1114A"/>
    <w:rsid w:val="00A1521F"/>
    <w:rsid w:val="00A26A5F"/>
    <w:rsid w:val="00A273EE"/>
    <w:rsid w:val="00A300AA"/>
    <w:rsid w:val="00A45B52"/>
    <w:rsid w:val="00A46B4F"/>
    <w:rsid w:val="00A5367E"/>
    <w:rsid w:val="00A557AD"/>
    <w:rsid w:val="00A602A6"/>
    <w:rsid w:val="00A76938"/>
    <w:rsid w:val="00A76D33"/>
    <w:rsid w:val="00A77877"/>
    <w:rsid w:val="00A8177E"/>
    <w:rsid w:val="00A833C2"/>
    <w:rsid w:val="00AB3F38"/>
    <w:rsid w:val="00AB76FB"/>
    <w:rsid w:val="00AC00AE"/>
    <w:rsid w:val="00AD02FD"/>
    <w:rsid w:val="00AD3F84"/>
    <w:rsid w:val="00AE02AE"/>
    <w:rsid w:val="00AE714E"/>
    <w:rsid w:val="00AF75F4"/>
    <w:rsid w:val="00B0248A"/>
    <w:rsid w:val="00B14A23"/>
    <w:rsid w:val="00B26807"/>
    <w:rsid w:val="00B35134"/>
    <w:rsid w:val="00B42F9B"/>
    <w:rsid w:val="00B43AAC"/>
    <w:rsid w:val="00B50D2C"/>
    <w:rsid w:val="00B535D8"/>
    <w:rsid w:val="00B54749"/>
    <w:rsid w:val="00B56091"/>
    <w:rsid w:val="00B61C0F"/>
    <w:rsid w:val="00B627CB"/>
    <w:rsid w:val="00B70338"/>
    <w:rsid w:val="00B72A5F"/>
    <w:rsid w:val="00B74E22"/>
    <w:rsid w:val="00B85E20"/>
    <w:rsid w:val="00B978EF"/>
    <w:rsid w:val="00BA5967"/>
    <w:rsid w:val="00BC37D4"/>
    <w:rsid w:val="00BD2884"/>
    <w:rsid w:val="00BE6688"/>
    <w:rsid w:val="00BE7BDA"/>
    <w:rsid w:val="00C04915"/>
    <w:rsid w:val="00C1457B"/>
    <w:rsid w:val="00C14E79"/>
    <w:rsid w:val="00C1555F"/>
    <w:rsid w:val="00C17ADA"/>
    <w:rsid w:val="00C31410"/>
    <w:rsid w:val="00C32FE3"/>
    <w:rsid w:val="00C439C1"/>
    <w:rsid w:val="00C62423"/>
    <w:rsid w:val="00C75968"/>
    <w:rsid w:val="00C82A3B"/>
    <w:rsid w:val="00C860AB"/>
    <w:rsid w:val="00C92AD8"/>
    <w:rsid w:val="00C93960"/>
    <w:rsid w:val="00CA273B"/>
    <w:rsid w:val="00CB67A2"/>
    <w:rsid w:val="00CB7711"/>
    <w:rsid w:val="00CC5B47"/>
    <w:rsid w:val="00CC622F"/>
    <w:rsid w:val="00CD390E"/>
    <w:rsid w:val="00CD4A0C"/>
    <w:rsid w:val="00CD619A"/>
    <w:rsid w:val="00CE6BA2"/>
    <w:rsid w:val="00CF718E"/>
    <w:rsid w:val="00CF78C7"/>
    <w:rsid w:val="00D07712"/>
    <w:rsid w:val="00D15CEC"/>
    <w:rsid w:val="00D17410"/>
    <w:rsid w:val="00D2249C"/>
    <w:rsid w:val="00D40411"/>
    <w:rsid w:val="00D5348B"/>
    <w:rsid w:val="00D54DBB"/>
    <w:rsid w:val="00D633EB"/>
    <w:rsid w:val="00D653DF"/>
    <w:rsid w:val="00D779AB"/>
    <w:rsid w:val="00D80B46"/>
    <w:rsid w:val="00D849DE"/>
    <w:rsid w:val="00D86C7C"/>
    <w:rsid w:val="00D90F23"/>
    <w:rsid w:val="00D927D7"/>
    <w:rsid w:val="00DA448A"/>
    <w:rsid w:val="00DB0035"/>
    <w:rsid w:val="00DB1213"/>
    <w:rsid w:val="00DB26A4"/>
    <w:rsid w:val="00DC4DA7"/>
    <w:rsid w:val="00DE0ED7"/>
    <w:rsid w:val="00DE12C4"/>
    <w:rsid w:val="00DE4794"/>
    <w:rsid w:val="00E03036"/>
    <w:rsid w:val="00E11194"/>
    <w:rsid w:val="00E13992"/>
    <w:rsid w:val="00E13DA4"/>
    <w:rsid w:val="00E14330"/>
    <w:rsid w:val="00E14F91"/>
    <w:rsid w:val="00E15622"/>
    <w:rsid w:val="00E37235"/>
    <w:rsid w:val="00E43768"/>
    <w:rsid w:val="00E47F2B"/>
    <w:rsid w:val="00E83F85"/>
    <w:rsid w:val="00E94C0B"/>
    <w:rsid w:val="00E95EFA"/>
    <w:rsid w:val="00E97278"/>
    <w:rsid w:val="00E97AC3"/>
    <w:rsid w:val="00EA7D87"/>
    <w:rsid w:val="00EB01DF"/>
    <w:rsid w:val="00EB2C4F"/>
    <w:rsid w:val="00ED1044"/>
    <w:rsid w:val="00ED59BC"/>
    <w:rsid w:val="00EF5585"/>
    <w:rsid w:val="00F02C74"/>
    <w:rsid w:val="00F06AB7"/>
    <w:rsid w:val="00F14BC8"/>
    <w:rsid w:val="00F15F5C"/>
    <w:rsid w:val="00F17FF9"/>
    <w:rsid w:val="00F21E5C"/>
    <w:rsid w:val="00F2359F"/>
    <w:rsid w:val="00F25DD5"/>
    <w:rsid w:val="00F26271"/>
    <w:rsid w:val="00F37A5D"/>
    <w:rsid w:val="00F418A0"/>
    <w:rsid w:val="00F80D23"/>
    <w:rsid w:val="00F83257"/>
    <w:rsid w:val="00F8654B"/>
    <w:rsid w:val="00F87F48"/>
    <w:rsid w:val="00F87F58"/>
    <w:rsid w:val="00F9209D"/>
    <w:rsid w:val="00FA059D"/>
    <w:rsid w:val="00FA290E"/>
    <w:rsid w:val="00FB40CA"/>
    <w:rsid w:val="00FB5329"/>
    <w:rsid w:val="00FC03AB"/>
    <w:rsid w:val="00FD7116"/>
    <w:rsid w:val="00FE3780"/>
    <w:rsid w:val="00FF04B1"/>
    <w:rsid w:val="00FF1052"/>
    <w:rsid w:val="00FF140C"/>
    <w:rsid w:val="00FF3DE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F58"/>
    <w:pPr>
      <w:spacing w:after="200" w:line="276" w:lineRule="auto"/>
    </w:pPr>
    <w:rPr>
      <w:sz w:val="24"/>
      <w:szCs w:val="22"/>
    </w:rPr>
  </w:style>
  <w:style w:type="paragraph" w:styleId="Heading1">
    <w:name w:val="heading 1"/>
    <w:basedOn w:val="Normal"/>
    <w:next w:val="BodyText"/>
    <w:link w:val="Heading1Char"/>
    <w:qFormat/>
    <w:rsid w:val="001A5532"/>
    <w:pPr>
      <w:keepNext/>
      <w:numPr>
        <w:numId w:val="1"/>
      </w:numPr>
      <w:spacing w:after="240" w:line="240" w:lineRule="auto"/>
      <w:outlineLvl w:val="0"/>
    </w:pPr>
    <w:rPr>
      <w:rFonts w:eastAsia="SimSun"/>
      <w:sz w:val="20"/>
      <w:szCs w:val="20"/>
    </w:rPr>
  </w:style>
  <w:style w:type="paragraph" w:styleId="Heading2">
    <w:name w:val="heading 2"/>
    <w:basedOn w:val="Normal"/>
    <w:next w:val="BodyText"/>
    <w:link w:val="Heading2Char"/>
    <w:qFormat/>
    <w:rsid w:val="001A5532"/>
    <w:pPr>
      <w:numPr>
        <w:ilvl w:val="1"/>
        <w:numId w:val="1"/>
      </w:numPr>
      <w:spacing w:after="240" w:line="240" w:lineRule="auto"/>
      <w:outlineLvl w:val="1"/>
    </w:pPr>
    <w:rPr>
      <w:rFonts w:eastAsia="SimSun"/>
      <w:b/>
      <w:sz w:val="20"/>
      <w:szCs w:val="20"/>
    </w:rPr>
  </w:style>
  <w:style w:type="paragraph" w:styleId="Heading3">
    <w:name w:val="heading 3"/>
    <w:basedOn w:val="Normal"/>
    <w:next w:val="BodyText"/>
    <w:link w:val="Heading3Char"/>
    <w:qFormat/>
    <w:rsid w:val="001A5532"/>
    <w:pPr>
      <w:numPr>
        <w:ilvl w:val="2"/>
        <w:numId w:val="1"/>
      </w:numPr>
      <w:spacing w:after="240" w:line="240" w:lineRule="auto"/>
      <w:outlineLvl w:val="2"/>
    </w:pPr>
    <w:rPr>
      <w:rFonts w:eastAsia="SimSun"/>
      <w:sz w:val="20"/>
      <w:szCs w:val="20"/>
      <w:u w:val="single"/>
    </w:rPr>
  </w:style>
  <w:style w:type="paragraph" w:styleId="Heading4">
    <w:name w:val="heading 4"/>
    <w:basedOn w:val="Normal"/>
    <w:next w:val="BodyText"/>
    <w:link w:val="Heading4Char"/>
    <w:qFormat/>
    <w:rsid w:val="001A5532"/>
    <w:pPr>
      <w:numPr>
        <w:ilvl w:val="3"/>
        <w:numId w:val="1"/>
      </w:numPr>
      <w:spacing w:after="240" w:line="240" w:lineRule="auto"/>
      <w:outlineLvl w:val="3"/>
    </w:pPr>
    <w:rPr>
      <w:rFonts w:eastAsia="SimSun"/>
      <w:b/>
      <w:i/>
      <w:sz w:val="20"/>
      <w:szCs w:val="20"/>
    </w:rPr>
  </w:style>
  <w:style w:type="paragraph" w:styleId="Heading5">
    <w:name w:val="heading 5"/>
    <w:basedOn w:val="Normal"/>
    <w:next w:val="BodyText"/>
    <w:link w:val="Heading5Char"/>
    <w:qFormat/>
    <w:rsid w:val="001A5532"/>
    <w:pPr>
      <w:numPr>
        <w:ilvl w:val="4"/>
        <w:numId w:val="1"/>
      </w:numPr>
      <w:spacing w:after="240" w:line="240" w:lineRule="auto"/>
      <w:outlineLvl w:val="4"/>
    </w:pPr>
    <w:rPr>
      <w:rFonts w:eastAsia="SimSun"/>
      <w:i/>
      <w:sz w:val="20"/>
      <w:szCs w:val="20"/>
    </w:rPr>
  </w:style>
  <w:style w:type="paragraph" w:styleId="Heading6">
    <w:name w:val="heading 6"/>
    <w:basedOn w:val="Normal"/>
    <w:next w:val="BodyText"/>
    <w:link w:val="Heading6Char"/>
    <w:qFormat/>
    <w:rsid w:val="001A5532"/>
    <w:pPr>
      <w:numPr>
        <w:ilvl w:val="5"/>
        <w:numId w:val="1"/>
      </w:numPr>
      <w:spacing w:after="240" w:line="240" w:lineRule="auto"/>
      <w:outlineLvl w:val="5"/>
    </w:pPr>
    <w:rPr>
      <w:rFonts w:eastAsia="SimSun"/>
      <w:sz w:val="20"/>
      <w:szCs w:val="20"/>
      <w:lang w:eastAsia="zh-CN"/>
    </w:rPr>
  </w:style>
  <w:style w:type="paragraph" w:styleId="Heading7">
    <w:name w:val="heading 7"/>
    <w:basedOn w:val="Normal"/>
    <w:next w:val="BodyText"/>
    <w:link w:val="Heading7Char"/>
    <w:qFormat/>
    <w:rsid w:val="001A5532"/>
    <w:pPr>
      <w:numPr>
        <w:ilvl w:val="6"/>
        <w:numId w:val="1"/>
      </w:numPr>
      <w:spacing w:after="240" w:line="240" w:lineRule="auto"/>
      <w:outlineLvl w:val="6"/>
    </w:pPr>
    <w:rPr>
      <w:rFonts w:eastAsia="SimSun"/>
      <w:sz w:val="20"/>
      <w:szCs w:val="20"/>
      <w:lang w:eastAsia="zh-CN"/>
    </w:rPr>
  </w:style>
  <w:style w:type="paragraph" w:styleId="Heading8">
    <w:name w:val="heading 8"/>
    <w:basedOn w:val="Normal"/>
    <w:next w:val="BodyText"/>
    <w:link w:val="Heading8Char"/>
    <w:qFormat/>
    <w:rsid w:val="001A5532"/>
    <w:pPr>
      <w:numPr>
        <w:ilvl w:val="7"/>
        <w:numId w:val="1"/>
      </w:numPr>
      <w:spacing w:after="240" w:line="240" w:lineRule="auto"/>
      <w:outlineLvl w:val="7"/>
    </w:pPr>
    <w:rPr>
      <w:rFonts w:eastAsia="SimSun"/>
      <w:sz w:val="20"/>
      <w:szCs w:val="20"/>
      <w:lang w:eastAsia="zh-CN"/>
    </w:rPr>
  </w:style>
  <w:style w:type="paragraph" w:styleId="Heading9">
    <w:name w:val="heading 9"/>
    <w:basedOn w:val="Normal"/>
    <w:next w:val="BodyText"/>
    <w:link w:val="Heading9Char"/>
    <w:qFormat/>
    <w:rsid w:val="001A5532"/>
    <w:pPr>
      <w:numPr>
        <w:ilvl w:val="8"/>
        <w:numId w:val="1"/>
      </w:numPr>
      <w:spacing w:after="240" w:line="240" w:lineRule="auto"/>
      <w:outlineLvl w:val="8"/>
    </w:pPr>
    <w:rPr>
      <w:rFonts w:eastAsia="SimSu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688"/>
  </w:style>
  <w:style w:type="paragraph" w:styleId="Footer">
    <w:name w:val="footer"/>
    <w:basedOn w:val="Normal"/>
    <w:link w:val="FooterChar"/>
    <w:uiPriority w:val="99"/>
    <w:unhideWhenUsed/>
    <w:rsid w:val="00BE6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688"/>
  </w:style>
  <w:style w:type="table" w:styleId="TableGrid">
    <w:name w:val="Table Grid"/>
    <w:basedOn w:val="TableNormal"/>
    <w:uiPriority w:val="59"/>
    <w:rsid w:val="001A55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1A5532"/>
    <w:rPr>
      <w:rFonts w:eastAsia="SimSun"/>
    </w:rPr>
  </w:style>
  <w:style w:type="character" w:customStyle="1" w:styleId="Heading2Char">
    <w:name w:val="Heading 2 Char"/>
    <w:link w:val="Heading2"/>
    <w:rsid w:val="001A5532"/>
    <w:rPr>
      <w:rFonts w:eastAsia="SimSun"/>
      <w:b/>
    </w:rPr>
  </w:style>
  <w:style w:type="character" w:customStyle="1" w:styleId="Heading3Char">
    <w:name w:val="Heading 3 Char"/>
    <w:link w:val="Heading3"/>
    <w:rsid w:val="001A5532"/>
    <w:rPr>
      <w:rFonts w:eastAsia="SimSun"/>
      <w:u w:val="single"/>
    </w:rPr>
  </w:style>
  <w:style w:type="character" w:customStyle="1" w:styleId="Heading4Char">
    <w:name w:val="Heading 4 Char"/>
    <w:link w:val="Heading4"/>
    <w:rsid w:val="001A5532"/>
    <w:rPr>
      <w:rFonts w:eastAsia="SimSun"/>
      <w:b/>
      <w:i/>
    </w:rPr>
  </w:style>
  <w:style w:type="character" w:customStyle="1" w:styleId="Heading5Char">
    <w:name w:val="Heading 5 Char"/>
    <w:link w:val="Heading5"/>
    <w:rsid w:val="001A5532"/>
    <w:rPr>
      <w:rFonts w:eastAsia="SimSun"/>
      <w:i/>
    </w:rPr>
  </w:style>
  <w:style w:type="character" w:customStyle="1" w:styleId="Heading6Char">
    <w:name w:val="Heading 6 Char"/>
    <w:link w:val="Heading6"/>
    <w:rsid w:val="001A5532"/>
    <w:rPr>
      <w:rFonts w:eastAsia="SimSun"/>
      <w:lang w:eastAsia="zh-CN"/>
    </w:rPr>
  </w:style>
  <w:style w:type="character" w:customStyle="1" w:styleId="Heading7Char">
    <w:name w:val="Heading 7 Char"/>
    <w:link w:val="Heading7"/>
    <w:rsid w:val="001A5532"/>
    <w:rPr>
      <w:rFonts w:eastAsia="SimSun"/>
      <w:lang w:eastAsia="zh-CN"/>
    </w:rPr>
  </w:style>
  <w:style w:type="character" w:customStyle="1" w:styleId="Heading8Char">
    <w:name w:val="Heading 8 Char"/>
    <w:link w:val="Heading8"/>
    <w:rsid w:val="001A5532"/>
    <w:rPr>
      <w:rFonts w:eastAsia="SimSun"/>
      <w:lang w:eastAsia="zh-CN"/>
    </w:rPr>
  </w:style>
  <w:style w:type="character" w:customStyle="1" w:styleId="Heading9Char">
    <w:name w:val="Heading 9 Char"/>
    <w:link w:val="Heading9"/>
    <w:rsid w:val="001A5532"/>
    <w:rPr>
      <w:rFonts w:eastAsia="SimSun"/>
      <w:lang w:eastAsia="zh-CN"/>
    </w:rPr>
  </w:style>
  <w:style w:type="paragraph" w:customStyle="1" w:styleId="Block1">
    <w:name w:val="Block 1"/>
    <w:basedOn w:val="Normal"/>
    <w:rsid w:val="001A5532"/>
    <w:pPr>
      <w:widowControl w:val="0"/>
      <w:spacing w:after="240" w:line="240" w:lineRule="auto"/>
      <w:ind w:left="740"/>
      <w:jc w:val="both"/>
    </w:pPr>
    <w:rPr>
      <w:rFonts w:eastAsia="Times New Roman"/>
      <w:sz w:val="20"/>
      <w:szCs w:val="24"/>
      <w:lang w:eastAsia="zh-CN"/>
    </w:rPr>
  </w:style>
  <w:style w:type="paragraph" w:styleId="BodyText">
    <w:name w:val="Body Text"/>
    <w:basedOn w:val="Normal"/>
    <w:link w:val="BodyTextChar"/>
    <w:uiPriority w:val="99"/>
    <w:semiHidden/>
    <w:unhideWhenUsed/>
    <w:rsid w:val="001A5532"/>
    <w:pPr>
      <w:spacing w:after="120"/>
    </w:pPr>
  </w:style>
  <w:style w:type="character" w:customStyle="1" w:styleId="BodyTextChar">
    <w:name w:val="Body Text Char"/>
    <w:link w:val="BodyText"/>
    <w:uiPriority w:val="99"/>
    <w:semiHidden/>
    <w:rsid w:val="001A5532"/>
    <w:rPr>
      <w:sz w:val="24"/>
      <w:szCs w:val="22"/>
    </w:rPr>
  </w:style>
  <w:style w:type="paragraph" w:styleId="FootnoteText">
    <w:name w:val="footnote text"/>
    <w:basedOn w:val="Normal"/>
    <w:link w:val="FootnoteTextChar"/>
    <w:uiPriority w:val="99"/>
    <w:semiHidden/>
    <w:unhideWhenUsed/>
    <w:rsid w:val="00C82A3B"/>
    <w:rPr>
      <w:sz w:val="20"/>
      <w:szCs w:val="20"/>
    </w:rPr>
  </w:style>
  <w:style w:type="character" w:customStyle="1" w:styleId="FootnoteTextChar">
    <w:name w:val="Footnote Text Char"/>
    <w:basedOn w:val="DefaultParagraphFont"/>
    <w:link w:val="FootnoteText"/>
    <w:uiPriority w:val="99"/>
    <w:semiHidden/>
    <w:rsid w:val="00C82A3B"/>
  </w:style>
  <w:style w:type="character" w:styleId="FootnoteReference">
    <w:name w:val="footnote reference"/>
    <w:uiPriority w:val="99"/>
    <w:semiHidden/>
    <w:unhideWhenUsed/>
    <w:rsid w:val="00C82A3B"/>
    <w:rPr>
      <w:vertAlign w:val="superscript"/>
    </w:rPr>
  </w:style>
  <w:style w:type="numbering" w:styleId="111111">
    <w:name w:val="Outline List 2"/>
    <w:basedOn w:val="NoList"/>
    <w:uiPriority w:val="99"/>
    <w:semiHidden/>
    <w:unhideWhenUsed/>
    <w:rsid w:val="00203BDD"/>
    <w:pPr>
      <w:numPr>
        <w:numId w:val="6"/>
      </w:numPr>
    </w:pPr>
  </w:style>
  <w:style w:type="numbering" w:styleId="1ai">
    <w:name w:val="Outline List 1"/>
    <w:basedOn w:val="NoList"/>
    <w:uiPriority w:val="99"/>
    <w:semiHidden/>
    <w:unhideWhenUsed/>
    <w:rsid w:val="00203BDD"/>
    <w:pPr>
      <w:numPr>
        <w:numId w:val="7"/>
      </w:numPr>
    </w:pPr>
  </w:style>
  <w:style w:type="numbering" w:styleId="ArticleSection">
    <w:name w:val="Outline List 3"/>
    <w:basedOn w:val="NoList"/>
    <w:uiPriority w:val="99"/>
    <w:semiHidden/>
    <w:unhideWhenUsed/>
    <w:rsid w:val="00203BDD"/>
    <w:pPr>
      <w:numPr>
        <w:numId w:val="8"/>
      </w:numPr>
    </w:pPr>
  </w:style>
  <w:style w:type="paragraph" w:styleId="BalloonText">
    <w:name w:val="Balloon Text"/>
    <w:basedOn w:val="Normal"/>
    <w:link w:val="BalloonTextChar"/>
    <w:uiPriority w:val="99"/>
    <w:semiHidden/>
    <w:unhideWhenUsed/>
    <w:rsid w:val="00203BD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03BDD"/>
    <w:rPr>
      <w:rFonts w:ascii="Tahoma" w:hAnsi="Tahoma" w:cs="Tahoma"/>
      <w:sz w:val="16"/>
      <w:szCs w:val="16"/>
    </w:rPr>
  </w:style>
  <w:style w:type="paragraph" w:styleId="Bibliography">
    <w:name w:val="Bibliography"/>
    <w:basedOn w:val="Normal"/>
    <w:next w:val="Normal"/>
    <w:uiPriority w:val="37"/>
    <w:semiHidden/>
    <w:unhideWhenUsed/>
    <w:rsid w:val="00203BDD"/>
  </w:style>
  <w:style w:type="paragraph" w:styleId="BlockText">
    <w:name w:val="Block Text"/>
    <w:basedOn w:val="Normal"/>
    <w:uiPriority w:val="99"/>
    <w:semiHidden/>
    <w:unhideWhenUsed/>
    <w:rsid w:val="00203BDD"/>
    <w:pPr>
      <w:spacing w:after="120"/>
      <w:ind w:left="1440" w:right="1440"/>
    </w:pPr>
  </w:style>
  <w:style w:type="paragraph" w:styleId="BodyText2">
    <w:name w:val="Body Text 2"/>
    <w:basedOn w:val="Normal"/>
    <w:link w:val="BodyText2Char"/>
    <w:uiPriority w:val="99"/>
    <w:semiHidden/>
    <w:unhideWhenUsed/>
    <w:rsid w:val="00203BDD"/>
    <w:pPr>
      <w:spacing w:after="120" w:line="480" w:lineRule="auto"/>
    </w:pPr>
  </w:style>
  <w:style w:type="character" w:customStyle="1" w:styleId="BodyText2Char">
    <w:name w:val="Body Text 2 Char"/>
    <w:link w:val="BodyText2"/>
    <w:uiPriority w:val="99"/>
    <w:semiHidden/>
    <w:rsid w:val="00203BDD"/>
    <w:rPr>
      <w:sz w:val="24"/>
      <w:szCs w:val="22"/>
    </w:rPr>
  </w:style>
  <w:style w:type="paragraph" w:styleId="BodyText3">
    <w:name w:val="Body Text 3"/>
    <w:basedOn w:val="Normal"/>
    <w:link w:val="BodyText3Char"/>
    <w:uiPriority w:val="99"/>
    <w:semiHidden/>
    <w:unhideWhenUsed/>
    <w:rsid w:val="00203BDD"/>
    <w:pPr>
      <w:spacing w:after="120"/>
    </w:pPr>
    <w:rPr>
      <w:sz w:val="16"/>
      <w:szCs w:val="16"/>
    </w:rPr>
  </w:style>
  <w:style w:type="character" w:customStyle="1" w:styleId="BodyText3Char">
    <w:name w:val="Body Text 3 Char"/>
    <w:link w:val="BodyText3"/>
    <w:uiPriority w:val="99"/>
    <w:semiHidden/>
    <w:rsid w:val="00203BDD"/>
    <w:rPr>
      <w:sz w:val="16"/>
      <w:szCs w:val="16"/>
    </w:rPr>
  </w:style>
  <w:style w:type="paragraph" w:styleId="BodyTextFirstIndent">
    <w:name w:val="Body Text First Indent"/>
    <w:basedOn w:val="BodyText"/>
    <w:link w:val="BodyTextFirstIndentChar"/>
    <w:uiPriority w:val="99"/>
    <w:semiHidden/>
    <w:unhideWhenUsed/>
    <w:rsid w:val="00203BDD"/>
    <w:pPr>
      <w:ind w:firstLine="210"/>
    </w:pPr>
  </w:style>
  <w:style w:type="character" w:customStyle="1" w:styleId="BodyTextFirstIndentChar">
    <w:name w:val="Body Text First Indent Char"/>
    <w:basedOn w:val="BodyTextChar"/>
    <w:link w:val="BodyTextFirstIndent"/>
    <w:uiPriority w:val="99"/>
    <w:semiHidden/>
    <w:rsid w:val="00203BDD"/>
    <w:rPr>
      <w:sz w:val="24"/>
      <w:szCs w:val="22"/>
    </w:rPr>
  </w:style>
  <w:style w:type="paragraph" w:styleId="BodyTextIndent">
    <w:name w:val="Body Text Indent"/>
    <w:basedOn w:val="Normal"/>
    <w:link w:val="BodyTextIndentChar"/>
    <w:uiPriority w:val="99"/>
    <w:semiHidden/>
    <w:unhideWhenUsed/>
    <w:rsid w:val="00203BDD"/>
    <w:pPr>
      <w:spacing w:after="120"/>
      <w:ind w:left="360"/>
    </w:pPr>
  </w:style>
  <w:style w:type="character" w:customStyle="1" w:styleId="BodyTextIndentChar">
    <w:name w:val="Body Text Indent Char"/>
    <w:link w:val="BodyTextIndent"/>
    <w:uiPriority w:val="99"/>
    <w:semiHidden/>
    <w:rsid w:val="00203BDD"/>
    <w:rPr>
      <w:sz w:val="24"/>
      <w:szCs w:val="22"/>
    </w:rPr>
  </w:style>
  <w:style w:type="paragraph" w:styleId="BodyTextFirstIndent2">
    <w:name w:val="Body Text First Indent 2"/>
    <w:basedOn w:val="BodyTextIndent"/>
    <w:link w:val="BodyTextFirstIndent2Char"/>
    <w:uiPriority w:val="99"/>
    <w:semiHidden/>
    <w:unhideWhenUsed/>
    <w:rsid w:val="00203BDD"/>
    <w:pPr>
      <w:ind w:firstLine="210"/>
    </w:pPr>
  </w:style>
  <w:style w:type="character" w:customStyle="1" w:styleId="BodyTextFirstIndent2Char">
    <w:name w:val="Body Text First Indent 2 Char"/>
    <w:basedOn w:val="BodyTextIndentChar"/>
    <w:link w:val="BodyTextFirstIndent2"/>
    <w:uiPriority w:val="99"/>
    <w:semiHidden/>
    <w:rsid w:val="00203BDD"/>
    <w:rPr>
      <w:sz w:val="24"/>
      <w:szCs w:val="22"/>
    </w:rPr>
  </w:style>
  <w:style w:type="paragraph" w:styleId="BodyTextIndent2">
    <w:name w:val="Body Text Indent 2"/>
    <w:basedOn w:val="Normal"/>
    <w:link w:val="BodyTextIndent2Char"/>
    <w:uiPriority w:val="99"/>
    <w:semiHidden/>
    <w:unhideWhenUsed/>
    <w:rsid w:val="00203BDD"/>
    <w:pPr>
      <w:spacing w:after="120" w:line="480" w:lineRule="auto"/>
      <w:ind w:left="360"/>
    </w:pPr>
  </w:style>
  <w:style w:type="character" w:customStyle="1" w:styleId="BodyTextIndent2Char">
    <w:name w:val="Body Text Indent 2 Char"/>
    <w:link w:val="BodyTextIndent2"/>
    <w:uiPriority w:val="99"/>
    <w:semiHidden/>
    <w:rsid w:val="00203BDD"/>
    <w:rPr>
      <w:sz w:val="24"/>
      <w:szCs w:val="22"/>
    </w:rPr>
  </w:style>
  <w:style w:type="paragraph" w:styleId="BodyTextIndent3">
    <w:name w:val="Body Text Indent 3"/>
    <w:basedOn w:val="Normal"/>
    <w:link w:val="BodyTextIndent3Char"/>
    <w:uiPriority w:val="99"/>
    <w:semiHidden/>
    <w:unhideWhenUsed/>
    <w:rsid w:val="00203BDD"/>
    <w:pPr>
      <w:spacing w:after="120"/>
      <w:ind w:left="360"/>
    </w:pPr>
    <w:rPr>
      <w:sz w:val="16"/>
      <w:szCs w:val="16"/>
    </w:rPr>
  </w:style>
  <w:style w:type="character" w:customStyle="1" w:styleId="BodyTextIndent3Char">
    <w:name w:val="Body Text Indent 3 Char"/>
    <w:link w:val="BodyTextIndent3"/>
    <w:uiPriority w:val="99"/>
    <w:semiHidden/>
    <w:rsid w:val="00203BDD"/>
    <w:rPr>
      <w:sz w:val="16"/>
      <w:szCs w:val="16"/>
    </w:rPr>
  </w:style>
  <w:style w:type="character" w:styleId="BookTitle">
    <w:name w:val="Book Title"/>
    <w:uiPriority w:val="33"/>
    <w:qFormat/>
    <w:rsid w:val="00203BDD"/>
    <w:rPr>
      <w:b/>
      <w:bCs/>
      <w:smallCaps/>
      <w:spacing w:val="5"/>
    </w:rPr>
  </w:style>
  <w:style w:type="paragraph" w:styleId="Caption">
    <w:name w:val="caption"/>
    <w:basedOn w:val="Normal"/>
    <w:next w:val="Normal"/>
    <w:uiPriority w:val="35"/>
    <w:semiHidden/>
    <w:unhideWhenUsed/>
    <w:qFormat/>
    <w:rsid w:val="00203BDD"/>
    <w:rPr>
      <w:b/>
      <w:bCs/>
      <w:sz w:val="20"/>
      <w:szCs w:val="20"/>
    </w:rPr>
  </w:style>
  <w:style w:type="paragraph" w:styleId="Closing">
    <w:name w:val="Closing"/>
    <w:basedOn w:val="Normal"/>
    <w:link w:val="ClosingChar"/>
    <w:uiPriority w:val="99"/>
    <w:semiHidden/>
    <w:unhideWhenUsed/>
    <w:rsid w:val="00203BDD"/>
    <w:pPr>
      <w:ind w:left="4320"/>
    </w:pPr>
  </w:style>
  <w:style w:type="character" w:customStyle="1" w:styleId="ClosingChar">
    <w:name w:val="Closing Char"/>
    <w:link w:val="Closing"/>
    <w:uiPriority w:val="99"/>
    <w:semiHidden/>
    <w:rsid w:val="00203BDD"/>
    <w:rPr>
      <w:sz w:val="24"/>
      <w:szCs w:val="22"/>
    </w:rPr>
  </w:style>
  <w:style w:type="table" w:customStyle="1" w:styleId="ColorfulGrid1">
    <w:name w:val="Colorful Grid1"/>
    <w:basedOn w:val="TableNormal"/>
    <w:uiPriority w:val="73"/>
    <w:rsid w:val="00203BD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203BD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203BD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203BD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203BD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203BD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203BD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uiPriority w:val="72"/>
    <w:rsid w:val="00203BDD"/>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203BDD"/>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203BDD"/>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203BDD"/>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203BDD"/>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203BDD"/>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203BDD"/>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uiPriority w:val="71"/>
    <w:rsid w:val="00203BDD"/>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203BDD"/>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203BDD"/>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203BDD"/>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203BDD"/>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203BDD"/>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203BDD"/>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uiPriority w:val="99"/>
    <w:semiHidden/>
    <w:unhideWhenUsed/>
    <w:rsid w:val="00203BDD"/>
    <w:rPr>
      <w:sz w:val="16"/>
      <w:szCs w:val="16"/>
    </w:rPr>
  </w:style>
  <w:style w:type="paragraph" w:styleId="CommentText">
    <w:name w:val="annotation text"/>
    <w:basedOn w:val="Normal"/>
    <w:link w:val="CommentTextChar"/>
    <w:uiPriority w:val="99"/>
    <w:semiHidden/>
    <w:unhideWhenUsed/>
    <w:rsid w:val="00203BDD"/>
    <w:rPr>
      <w:sz w:val="20"/>
      <w:szCs w:val="20"/>
    </w:rPr>
  </w:style>
  <w:style w:type="character" w:customStyle="1" w:styleId="CommentTextChar">
    <w:name w:val="Comment Text Char"/>
    <w:basedOn w:val="DefaultParagraphFont"/>
    <w:link w:val="CommentText"/>
    <w:uiPriority w:val="99"/>
    <w:semiHidden/>
    <w:rsid w:val="00203BDD"/>
  </w:style>
  <w:style w:type="paragraph" w:styleId="CommentSubject">
    <w:name w:val="annotation subject"/>
    <w:basedOn w:val="CommentText"/>
    <w:next w:val="CommentText"/>
    <w:link w:val="CommentSubjectChar"/>
    <w:uiPriority w:val="99"/>
    <w:semiHidden/>
    <w:unhideWhenUsed/>
    <w:rsid w:val="00203BDD"/>
    <w:rPr>
      <w:b/>
      <w:bCs/>
    </w:rPr>
  </w:style>
  <w:style w:type="character" w:customStyle="1" w:styleId="CommentSubjectChar">
    <w:name w:val="Comment Subject Char"/>
    <w:link w:val="CommentSubject"/>
    <w:uiPriority w:val="99"/>
    <w:semiHidden/>
    <w:rsid w:val="00203BDD"/>
    <w:rPr>
      <w:b/>
      <w:bCs/>
    </w:rPr>
  </w:style>
  <w:style w:type="table" w:customStyle="1" w:styleId="DarkList1">
    <w:name w:val="Dark List1"/>
    <w:basedOn w:val="TableNormal"/>
    <w:uiPriority w:val="70"/>
    <w:rsid w:val="00203BDD"/>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203BDD"/>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203BDD"/>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203BDD"/>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203BDD"/>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203BDD"/>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203BDD"/>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unhideWhenUsed/>
    <w:rsid w:val="00203BDD"/>
  </w:style>
  <w:style w:type="character" w:customStyle="1" w:styleId="DateChar">
    <w:name w:val="Date Char"/>
    <w:link w:val="Date"/>
    <w:uiPriority w:val="99"/>
    <w:semiHidden/>
    <w:rsid w:val="00203BDD"/>
    <w:rPr>
      <w:sz w:val="24"/>
      <w:szCs w:val="22"/>
    </w:rPr>
  </w:style>
  <w:style w:type="paragraph" w:styleId="DocumentMap">
    <w:name w:val="Document Map"/>
    <w:basedOn w:val="Normal"/>
    <w:link w:val="DocumentMapChar"/>
    <w:uiPriority w:val="99"/>
    <w:semiHidden/>
    <w:unhideWhenUsed/>
    <w:rsid w:val="00203BDD"/>
    <w:rPr>
      <w:rFonts w:ascii="Tahoma" w:hAnsi="Tahoma" w:cs="Tahoma"/>
      <w:sz w:val="16"/>
      <w:szCs w:val="16"/>
    </w:rPr>
  </w:style>
  <w:style w:type="character" w:customStyle="1" w:styleId="DocumentMapChar">
    <w:name w:val="Document Map Char"/>
    <w:link w:val="DocumentMap"/>
    <w:uiPriority w:val="99"/>
    <w:semiHidden/>
    <w:rsid w:val="00203BDD"/>
    <w:rPr>
      <w:rFonts w:ascii="Tahoma" w:hAnsi="Tahoma" w:cs="Tahoma"/>
      <w:sz w:val="16"/>
      <w:szCs w:val="16"/>
    </w:rPr>
  </w:style>
  <w:style w:type="paragraph" w:styleId="E-mailSignature">
    <w:name w:val="E-mail Signature"/>
    <w:basedOn w:val="Normal"/>
    <w:link w:val="E-mailSignatureChar"/>
    <w:uiPriority w:val="99"/>
    <w:semiHidden/>
    <w:unhideWhenUsed/>
    <w:rsid w:val="00203BDD"/>
  </w:style>
  <w:style w:type="character" w:customStyle="1" w:styleId="E-mailSignatureChar">
    <w:name w:val="E-mail Signature Char"/>
    <w:link w:val="E-mailSignature"/>
    <w:uiPriority w:val="99"/>
    <w:semiHidden/>
    <w:rsid w:val="00203BDD"/>
    <w:rPr>
      <w:sz w:val="24"/>
      <w:szCs w:val="22"/>
    </w:rPr>
  </w:style>
  <w:style w:type="character" w:styleId="Emphasis">
    <w:name w:val="Emphasis"/>
    <w:uiPriority w:val="20"/>
    <w:qFormat/>
    <w:rsid w:val="00203BDD"/>
    <w:rPr>
      <w:i/>
      <w:iCs/>
    </w:rPr>
  </w:style>
  <w:style w:type="character" w:styleId="EndnoteReference">
    <w:name w:val="endnote reference"/>
    <w:uiPriority w:val="99"/>
    <w:semiHidden/>
    <w:unhideWhenUsed/>
    <w:rsid w:val="00203BDD"/>
    <w:rPr>
      <w:vertAlign w:val="superscript"/>
    </w:rPr>
  </w:style>
  <w:style w:type="paragraph" w:styleId="EndnoteText">
    <w:name w:val="endnote text"/>
    <w:basedOn w:val="Normal"/>
    <w:link w:val="EndnoteTextChar"/>
    <w:uiPriority w:val="99"/>
    <w:semiHidden/>
    <w:unhideWhenUsed/>
    <w:rsid w:val="00203BDD"/>
    <w:rPr>
      <w:sz w:val="20"/>
      <w:szCs w:val="20"/>
    </w:rPr>
  </w:style>
  <w:style w:type="character" w:customStyle="1" w:styleId="EndnoteTextChar">
    <w:name w:val="Endnote Text Char"/>
    <w:basedOn w:val="DefaultParagraphFont"/>
    <w:link w:val="EndnoteText"/>
    <w:uiPriority w:val="99"/>
    <w:semiHidden/>
    <w:rsid w:val="00203BDD"/>
  </w:style>
  <w:style w:type="paragraph" w:styleId="EnvelopeAddress">
    <w:name w:val="envelope address"/>
    <w:basedOn w:val="Normal"/>
    <w:uiPriority w:val="99"/>
    <w:semiHidden/>
    <w:unhideWhenUsed/>
    <w:rsid w:val="00203BDD"/>
    <w:pPr>
      <w:framePr w:w="7920" w:h="1980" w:hRule="exact" w:hSpace="180" w:wrap="auto" w:hAnchor="page" w:xAlign="center" w:yAlign="bottom"/>
      <w:ind w:left="2880"/>
    </w:pPr>
    <w:rPr>
      <w:rFonts w:ascii="Cambria" w:eastAsia="Times New Roman" w:hAnsi="Cambria"/>
      <w:szCs w:val="24"/>
    </w:rPr>
  </w:style>
  <w:style w:type="paragraph" w:styleId="EnvelopeReturn">
    <w:name w:val="envelope return"/>
    <w:basedOn w:val="Normal"/>
    <w:uiPriority w:val="99"/>
    <w:semiHidden/>
    <w:unhideWhenUsed/>
    <w:rsid w:val="00203BDD"/>
    <w:rPr>
      <w:rFonts w:ascii="Cambria" w:eastAsia="Times New Roman" w:hAnsi="Cambria"/>
      <w:sz w:val="20"/>
      <w:szCs w:val="20"/>
    </w:rPr>
  </w:style>
  <w:style w:type="character" w:styleId="FollowedHyperlink">
    <w:name w:val="FollowedHyperlink"/>
    <w:uiPriority w:val="99"/>
    <w:semiHidden/>
    <w:unhideWhenUsed/>
    <w:rsid w:val="00203BDD"/>
    <w:rPr>
      <w:color w:val="800080"/>
      <w:u w:val="single"/>
    </w:rPr>
  </w:style>
  <w:style w:type="character" w:styleId="HTMLAcronym">
    <w:name w:val="HTML Acronym"/>
    <w:uiPriority w:val="99"/>
    <w:semiHidden/>
    <w:unhideWhenUsed/>
    <w:rsid w:val="00203BDD"/>
  </w:style>
  <w:style w:type="paragraph" w:styleId="HTMLAddress">
    <w:name w:val="HTML Address"/>
    <w:basedOn w:val="Normal"/>
    <w:link w:val="HTMLAddressChar"/>
    <w:uiPriority w:val="99"/>
    <w:semiHidden/>
    <w:unhideWhenUsed/>
    <w:rsid w:val="00203BDD"/>
    <w:rPr>
      <w:i/>
      <w:iCs/>
    </w:rPr>
  </w:style>
  <w:style w:type="character" w:customStyle="1" w:styleId="HTMLAddressChar">
    <w:name w:val="HTML Address Char"/>
    <w:link w:val="HTMLAddress"/>
    <w:uiPriority w:val="99"/>
    <w:semiHidden/>
    <w:rsid w:val="00203BDD"/>
    <w:rPr>
      <w:i/>
      <w:iCs/>
      <w:sz w:val="24"/>
      <w:szCs w:val="22"/>
    </w:rPr>
  </w:style>
  <w:style w:type="character" w:styleId="HTMLCite">
    <w:name w:val="HTML Cite"/>
    <w:uiPriority w:val="99"/>
    <w:semiHidden/>
    <w:unhideWhenUsed/>
    <w:rsid w:val="00203BDD"/>
    <w:rPr>
      <w:i/>
      <w:iCs/>
    </w:rPr>
  </w:style>
  <w:style w:type="character" w:styleId="HTMLCode">
    <w:name w:val="HTML Code"/>
    <w:uiPriority w:val="99"/>
    <w:semiHidden/>
    <w:unhideWhenUsed/>
    <w:rsid w:val="00203BDD"/>
    <w:rPr>
      <w:rFonts w:ascii="Courier New" w:hAnsi="Courier New" w:cs="Courier New"/>
      <w:sz w:val="20"/>
      <w:szCs w:val="20"/>
    </w:rPr>
  </w:style>
  <w:style w:type="character" w:styleId="HTMLDefinition">
    <w:name w:val="HTML Definition"/>
    <w:uiPriority w:val="99"/>
    <w:semiHidden/>
    <w:unhideWhenUsed/>
    <w:rsid w:val="00203BDD"/>
    <w:rPr>
      <w:i/>
      <w:iCs/>
    </w:rPr>
  </w:style>
  <w:style w:type="character" w:styleId="HTMLKeyboard">
    <w:name w:val="HTML Keyboard"/>
    <w:uiPriority w:val="99"/>
    <w:semiHidden/>
    <w:unhideWhenUsed/>
    <w:rsid w:val="00203BDD"/>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203BDD"/>
    <w:rPr>
      <w:rFonts w:ascii="Courier New" w:hAnsi="Courier New" w:cs="Courier New"/>
      <w:sz w:val="20"/>
      <w:szCs w:val="20"/>
    </w:rPr>
  </w:style>
  <w:style w:type="character" w:customStyle="1" w:styleId="HTMLPreformattedChar">
    <w:name w:val="HTML Preformatted Char"/>
    <w:link w:val="HTMLPreformatted"/>
    <w:uiPriority w:val="99"/>
    <w:semiHidden/>
    <w:rsid w:val="00203BDD"/>
    <w:rPr>
      <w:rFonts w:ascii="Courier New" w:hAnsi="Courier New" w:cs="Courier New"/>
    </w:rPr>
  </w:style>
  <w:style w:type="character" w:styleId="HTMLSample">
    <w:name w:val="HTML Sample"/>
    <w:uiPriority w:val="99"/>
    <w:semiHidden/>
    <w:unhideWhenUsed/>
    <w:rsid w:val="00203BDD"/>
    <w:rPr>
      <w:rFonts w:ascii="Courier New" w:hAnsi="Courier New" w:cs="Courier New"/>
    </w:rPr>
  </w:style>
  <w:style w:type="character" w:styleId="HTMLTypewriter">
    <w:name w:val="HTML Typewriter"/>
    <w:uiPriority w:val="99"/>
    <w:semiHidden/>
    <w:unhideWhenUsed/>
    <w:rsid w:val="00203BDD"/>
    <w:rPr>
      <w:rFonts w:ascii="Courier New" w:hAnsi="Courier New" w:cs="Courier New"/>
      <w:sz w:val="20"/>
      <w:szCs w:val="20"/>
    </w:rPr>
  </w:style>
  <w:style w:type="character" w:styleId="HTMLVariable">
    <w:name w:val="HTML Variable"/>
    <w:uiPriority w:val="99"/>
    <w:semiHidden/>
    <w:unhideWhenUsed/>
    <w:rsid w:val="00203BDD"/>
    <w:rPr>
      <w:i/>
      <w:iCs/>
    </w:rPr>
  </w:style>
  <w:style w:type="character" w:styleId="Hyperlink">
    <w:name w:val="Hyperlink"/>
    <w:uiPriority w:val="99"/>
    <w:semiHidden/>
    <w:unhideWhenUsed/>
    <w:rsid w:val="00203BDD"/>
    <w:rPr>
      <w:color w:val="0000FF"/>
      <w:u w:val="single"/>
    </w:rPr>
  </w:style>
  <w:style w:type="paragraph" w:styleId="Index1">
    <w:name w:val="index 1"/>
    <w:basedOn w:val="Normal"/>
    <w:next w:val="Normal"/>
    <w:autoRedefine/>
    <w:uiPriority w:val="99"/>
    <w:semiHidden/>
    <w:unhideWhenUsed/>
    <w:rsid w:val="00203BDD"/>
    <w:pPr>
      <w:ind w:left="240" w:hanging="240"/>
    </w:pPr>
  </w:style>
  <w:style w:type="paragraph" w:styleId="Index2">
    <w:name w:val="index 2"/>
    <w:basedOn w:val="Normal"/>
    <w:next w:val="Normal"/>
    <w:autoRedefine/>
    <w:uiPriority w:val="99"/>
    <w:semiHidden/>
    <w:unhideWhenUsed/>
    <w:rsid w:val="00203BDD"/>
    <w:pPr>
      <w:ind w:left="480" w:hanging="240"/>
    </w:pPr>
  </w:style>
  <w:style w:type="paragraph" w:styleId="Index3">
    <w:name w:val="index 3"/>
    <w:basedOn w:val="Normal"/>
    <w:next w:val="Normal"/>
    <w:autoRedefine/>
    <w:uiPriority w:val="99"/>
    <w:semiHidden/>
    <w:unhideWhenUsed/>
    <w:rsid w:val="00203BDD"/>
    <w:pPr>
      <w:ind w:left="720" w:hanging="240"/>
    </w:pPr>
  </w:style>
  <w:style w:type="paragraph" w:styleId="Index4">
    <w:name w:val="index 4"/>
    <w:basedOn w:val="Normal"/>
    <w:next w:val="Normal"/>
    <w:autoRedefine/>
    <w:uiPriority w:val="99"/>
    <w:semiHidden/>
    <w:unhideWhenUsed/>
    <w:rsid w:val="00203BDD"/>
    <w:pPr>
      <w:ind w:left="960" w:hanging="240"/>
    </w:pPr>
  </w:style>
  <w:style w:type="paragraph" w:styleId="Index5">
    <w:name w:val="index 5"/>
    <w:basedOn w:val="Normal"/>
    <w:next w:val="Normal"/>
    <w:autoRedefine/>
    <w:uiPriority w:val="99"/>
    <w:semiHidden/>
    <w:unhideWhenUsed/>
    <w:rsid w:val="00203BDD"/>
    <w:pPr>
      <w:ind w:left="1200" w:hanging="240"/>
    </w:pPr>
  </w:style>
  <w:style w:type="paragraph" w:styleId="Index6">
    <w:name w:val="index 6"/>
    <w:basedOn w:val="Normal"/>
    <w:next w:val="Normal"/>
    <w:autoRedefine/>
    <w:uiPriority w:val="99"/>
    <w:semiHidden/>
    <w:unhideWhenUsed/>
    <w:rsid w:val="00203BDD"/>
    <w:pPr>
      <w:ind w:left="1440" w:hanging="240"/>
    </w:pPr>
  </w:style>
  <w:style w:type="paragraph" w:styleId="Index7">
    <w:name w:val="index 7"/>
    <w:basedOn w:val="Normal"/>
    <w:next w:val="Normal"/>
    <w:autoRedefine/>
    <w:uiPriority w:val="99"/>
    <w:semiHidden/>
    <w:unhideWhenUsed/>
    <w:rsid w:val="00203BDD"/>
    <w:pPr>
      <w:ind w:left="1680" w:hanging="240"/>
    </w:pPr>
  </w:style>
  <w:style w:type="paragraph" w:styleId="Index8">
    <w:name w:val="index 8"/>
    <w:basedOn w:val="Normal"/>
    <w:next w:val="Normal"/>
    <w:autoRedefine/>
    <w:uiPriority w:val="99"/>
    <w:semiHidden/>
    <w:unhideWhenUsed/>
    <w:rsid w:val="00203BDD"/>
    <w:pPr>
      <w:ind w:left="1920" w:hanging="240"/>
    </w:pPr>
  </w:style>
  <w:style w:type="paragraph" w:styleId="Index9">
    <w:name w:val="index 9"/>
    <w:basedOn w:val="Normal"/>
    <w:next w:val="Normal"/>
    <w:autoRedefine/>
    <w:uiPriority w:val="99"/>
    <w:semiHidden/>
    <w:unhideWhenUsed/>
    <w:rsid w:val="00203BDD"/>
    <w:pPr>
      <w:ind w:left="2160" w:hanging="240"/>
    </w:pPr>
  </w:style>
  <w:style w:type="paragraph" w:styleId="IndexHeading">
    <w:name w:val="index heading"/>
    <w:basedOn w:val="Normal"/>
    <w:next w:val="Index1"/>
    <w:uiPriority w:val="99"/>
    <w:semiHidden/>
    <w:unhideWhenUsed/>
    <w:rsid w:val="00203BDD"/>
    <w:rPr>
      <w:rFonts w:ascii="Cambria" w:eastAsia="Times New Roman" w:hAnsi="Cambria"/>
      <w:b/>
      <w:bCs/>
    </w:rPr>
  </w:style>
  <w:style w:type="character" w:styleId="IntenseEmphasis">
    <w:name w:val="Intense Emphasis"/>
    <w:uiPriority w:val="21"/>
    <w:qFormat/>
    <w:rsid w:val="00203BDD"/>
    <w:rPr>
      <w:b/>
      <w:bCs/>
      <w:i/>
      <w:iCs/>
      <w:color w:val="4F81BD"/>
    </w:rPr>
  </w:style>
  <w:style w:type="paragraph" w:styleId="IntenseQuote">
    <w:name w:val="Intense Quote"/>
    <w:basedOn w:val="Normal"/>
    <w:next w:val="Normal"/>
    <w:link w:val="IntenseQuoteChar"/>
    <w:uiPriority w:val="30"/>
    <w:qFormat/>
    <w:rsid w:val="00203BD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03BDD"/>
    <w:rPr>
      <w:b/>
      <w:bCs/>
      <w:i/>
      <w:iCs/>
      <w:color w:val="4F81BD"/>
      <w:sz w:val="24"/>
      <w:szCs w:val="22"/>
    </w:rPr>
  </w:style>
  <w:style w:type="character" w:styleId="IntenseReference">
    <w:name w:val="Intense Reference"/>
    <w:uiPriority w:val="32"/>
    <w:qFormat/>
    <w:rsid w:val="00203BDD"/>
    <w:rPr>
      <w:b/>
      <w:bCs/>
      <w:smallCaps/>
      <w:color w:val="C0504D"/>
      <w:spacing w:val="5"/>
      <w:u w:val="single"/>
    </w:rPr>
  </w:style>
  <w:style w:type="table" w:customStyle="1" w:styleId="LightGrid1">
    <w:name w:val="Light Grid1"/>
    <w:basedOn w:val="TableNormal"/>
    <w:uiPriority w:val="62"/>
    <w:rsid w:val="00203BDD"/>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uiPriority w:val="62"/>
    <w:rsid w:val="00203BDD"/>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203BDD"/>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203BDD"/>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203BDD"/>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203BDD"/>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203BDD"/>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uiPriority w:val="61"/>
    <w:rsid w:val="00203BD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203BDD"/>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203BDD"/>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203BDD"/>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203BDD"/>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203BDD"/>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203BDD"/>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uiPriority w:val="60"/>
    <w:rsid w:val="00203BD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203BD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203BDD"/>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203BDD"/>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203BDD"/>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203BDD"/>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203BDD"/>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uiPriority w:val="99"/>
    <w:semiHidden/>
    <w:unhideWhenUsed/>
    <w:rsid w:val="00203BDD"/>
  </w:style>
  <w:style w:type="paragraph" w:styleId="List">
    <w:name w:val="List"/>
    <w:basedOn w:val="Normal"/>
    <w:uiPriority w:val="99"/>
    <w:semiHidden/>
    <w:unhideWhenUsed/>
    <w:rsid w:val="00203BDD"/>
    <w:pPr>
      <w:ind w:left="360" w:hanging="360"/>
      <w:contextualSpacing/>
    </w:pPr>
  </w:style>
  <w:style w:type="paragraph" w:styleId="List2">
    <w:name w:val="List 2"/>
    <w:basedOn w:val="Normal"/>
    <w:uiPriority w:val="99"/>
    <w:semiHidden/>
    <w:unhideWhenUsed/>
    <w:rsid w:val="00203BDD"/>
    <w:pPr>
      <w:ind w:left="720" w:hanging="360"/>
      <w:contextualSpacing/>
    </w:pPr>
  </w:style>
  <w:style w:type="paragraph" w:styleId="List3">
    <w:name w:val="List 3"/>
    <w:basedOn w:val="Normal"/>
    <w:uiPriority w:val="99"/>
    <w:semiHidden/>
    <w:unhideWhenUsed/>
    <w:rsid w:val="00203BDD"/>
    <w:pPr>
      <w:ind w:left="1080" w:hanging="360"/>
      <w:contextualSpacing/>
    </w:pPr>
  </w:style>
  <w:style w:type="paragraph" w:styleId="List4">
    <w:name w:val="List 4"/>
    <w:basedOn w:val="Normal"/>
    <w:uiPriority w:val="99"/>
    <w:semiHidden/>
    <w:unhideWhenUsed/>
    <w:rsid w:val="00203BDD"/>
    <w:pPr>
      <w:ind w:left="1440" w:hanging="360"/>
      <w:contextualSpacing/>
    </w:pPr>
  </w:style>
  <w:style w:type="paragraph" w:styleId="List5">
    <w:name w:val="List 5"/>
    <w:basedOn w:val="Normal"/>
    <w:uiPriority w:val="99"/>
    <w:semiHidden/>
    <w:unhideWhenUsed/>
    <w:rsid w:val="00203BDD"/>
    <w:pPr>
      <w:ind w:left="1800" w:hanging="360"/>
      <w:contextualSpacing/>
    </w:pPr>
  </w:style>
  <w:style w:type="paragraph" w:styleId="ListBullet">
    <w:name w:val="List Bullet"/>
    <w:basedOn w:val="Normal"/>
    <w:uiPriority w:val="99"/>
    <w:semiHidden/>
    <w:unhideWhenUsed/>
    <w:rsid w:val="00203BDD"/>
    <w:pPr>
      <w:numPr>
        <w:numId w:val="9"/>
      </w:numPr>
      <w:contextualSpacing/>
    </w:pPr>
  </w:style>
  <w:style w:type="paragraph" w:styleId="ListBullet2">
    <w:name w:val="List Bullet 2"/>
    <w:basedOn w:val="Normal"/>
    <w:uiPriority w:val="99"/>
    <w:semiHidden/>
    <w:unhideWhenUsed/>
    <w:rsid w:val="00203BDD"/>
    <w:pPr>
      <w:numPr>
        <w:numId w:val="10"/>
      </w:numPr>
      <w:contextualSpacing/>
    </w:pPr>
  </w:style>
  <w:style w:type="paragraph" w:styleId="ListBullet3">
    <w:name w:val="List Bullet 3"/>
    <w:basedOn w:val="Normal"/>
    <w:uiPriority w:val="99"/>
    <w:semiHidden/>
    <w:unhideWhenUsed/>
    <w:rsid w:val="00203BDD"/>
    <w:pPr>
      <w:numPr>
        <w:numId w:val="11"/>
      </w:numPr>
      <w:contextualSpacing/>
    </w:pPr>
  </w:style>
  <w:style w:type="paragraph" w:styleId="ListBullet4">
    <w:name w:val="List Bullet 4"/>
    <w:basedOn w:val="Normal"/>
    <w:uiPriority w:val="99"/>
    <w:semiHidden/>
    <w:unhideWhenUsed/>
    <w:rsid w:val="00203BDD"/>
    <w:pPr>
      <w:numPr>
        <w:numId w:val="12"/>
      </w:numPr>
      <w:contextualSpacing/>
    </w:pPr>
  </w:style>
  <w:style w:type="paragraph" w:styleId="ListBullet5">
    <w:name w:val="List Bullet 5"/>
    <w:basedOn w:val="Normal"/>
    <w:uiPriority w:val="99"/>
    <w:semiHidden/>
    <w:unhideWhenUsed/>
    <w:rsid w:val="00203BDD"/>
    <w:pPr>
      <w:numPr>
        <w:numId w:val="13"/>
      </w:numPr>
      <w:contextualSpacing/>
    </w:pPr>
  </w:style>
  <w:style w:type="paragraph" w:styleId="ListContinue">
    <w:name w:val="List Continue"/>
    <w:basedOn w:val="Normal"/>
    <w:uiPriority w:val="99"/>
    <w:semiHidden/>
    <w:unhideWhenUsed/>
    <w:rsid w:val="00203BDD"/>
    <w:pPr>
      <w:spacing w:after="120"/>
      <w:ind w:left="360"/>
      <w:contextualSpacing/>
    </w:pPr>
  </w:style>
  <w:style w:type="paragraph" w:styleId="ListContinue2">
    <w:name w:val="List Continue 2"/>
    <w:basedOn w:val="Normal"/>
    <w:uiPriority w:val="99"/>
    <w:semiHidden/>
    <w:unhideWhenUsed/>
    <w:rsid w:val="00203BDD"/>
    <w:pPr>
      <w:spacing w:after="120"/>
      <w:ind w:left="720"/>
      <w:contextualSpacing/>
    </w:pPr>
  </w:style>
  <w:style w:type="paragraph" w:styleId="ListContinue3">
    <w:name w:val="List Continue 3"/>
    <w:basedOn w:val="Normal"/>
    <w:uiPriority w:val="99"/>
    <w:semiHidden/>
    <w:unhideWhenUsed/>
    <w:rsid w:val="00203BDD"/>
    <w:pPr>
      <w:spacing w:after="120"/>
      <w:ind w:left="1080"/>
      <w:contextualSpacing/>
    </w:pPr>
  </w:style>
  <w:style w:type="paragraph" w:styleId="ListContinue4">
    <w:name w:val="List Continue 4"/>
    <w:basedOn w:val="Normal"/>
    <w:uiPriority w:val="99"/>
    <w:semiHidden/>
    <w:unhideWhenUsed/>
    <w:rsid w:val="00203BDD"/>
    <w:pPr>
      <w:spacing w:after="120"/>
      <w:ind w:left="1440"/>
      <w:contextualSpacing/>
    </w:pPr>
  </w:style>
  <w:style w:type="paragraph" w:styleId="ListContinue5">
    <w:name w:val="List Continue 5"/>
    <w:basedOn w:val="Normal"/>
    <w:uiPriority w:val="99"/>
    <w:semiHidden/>
    <w:unhideWhenUsed/>
    <w:rsid w:val="00203BDD"/>
    <w:pPr>
      <w:spacing w:after="120"/>
      <w:ind w:left="1800"/>
      <w:contextualSpacing/>
    </w:pPr>
  </w:style>
  <w:style w:type="paragraph" w:styleId="ListNumber">
    <w:name w:val="List Number"/>
    <w:basedOn w:val="Normal"/>
    <w:uiPriority w:val="99"/>
    <w:semiHidden/>
    <w:unhideWhenUsed/>
    <w:rsid w:val="00203BDD"/>
    <w:pPr>
      <w:numPr>
        <w:numId w:val="14"/>
      </w:numPr>
      <w:contextualSpacing/>
    </w:pPr>
  </w:style>
  <w:style w:type="paragraph" w:styleId="ListNumber2">
    <w:name w:val="List Number 2"/>
    <w:basedOn w:val="Normal"/>
    <w:uiPriority w:val="99"/>
    <w:semiHidden/>
    <w:unhideWhenUsed/>
    <w:rsid w:val="00203BDD"/>
    <w:pPr>
      <w:numPr>
        <w:numId w:val="15"/>
      </w:numPr>
      <w:contextualSpacing/>
    </w:pPr>
  </w:style>
  <w:style w:type="paragraph" w:styleId="ListNumber3">
    <w:name w:val="List Number 3"/>
    <w:basedOn w:val="Normal"/>
    <w:uiPriority w:val="99"/>
    <w:semiHidden/>
    <w:unhideWhenUsed/>
    <w:rsid w:val="00203BDD"/>
    <w:pPr>
      <w:numPr>
        <w:numId w:val="16"/>
      </w:numPr>
      <w:contextualSpacing/>
    </w:pPr>
  </w:style>
  <w:style w:type="paragraph" w:styleId="ListNumber4">
    <w:name w:val="List Number 4"/>
    <w:basedOn w:val="Normal"/>
    <w:uiPriority w:val="99"/>
    <w:semiHidden/>
    <w:unhideWhenUsed/>
    <w:rsid w:val="00203BDD"/>
    <w:pPr>
      <w:numPr>
        <w:numId w:val="17"/>
      </w:numPr>
      <w:contextualSpacing/>
    </w:pPr>
  </w:style>
  <w:style w:type="paragraph" w:styleId="ListNumber5">
    <w:name w:val="List Number 5"/>
    <w:basedOn w:val="Normal"/>
    <w:uiPriority w:val="99"/>
    <w:semiHidden/>
    <w:unhideWhenUsed/>
    <w:rsid w:val="00203BDD"/>
    <w:pPr>
      <w:numPr>
        <w:numId w:val="18"/>
      </w:numPr>
      <w:contextualSpacing/>
    </w:pPr>
  </w:style>
  <w:style w:type="paragraph" w:styleId="ListParagraph">
    <w:name w:val="List Paragraph"/>
    <w:basedOn w:val="Normal"/>
    <w:uiPriority w:val="34"/>
    <w:qFormat/>
    <w:rsid w:val="00203BDD"/>
    <w:pPr>
      <w:ind w:left="720"/>
    </w:pPr>
  </w:style>
  <w:style w:type="paragraph" w:styleId="MacroText">
    <w:name w:val="macro"/>
    <w:link w:val="MacroTextChar"/>
    <w:uiPriority w:val="99"/>
    <w:semiHidden/>
    <w:unhideWhenUsed/>
    <w:rsid w:val="00203BDD"/>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link w:val="MacroText"/>
    <w:uiPriority w:val="99"/>
    <w:semiHidden/>
    <w:rsid w:val="00203BDD"/>
    <w:rPr>
      <w:rFonts w:ascii="Courier New" w:hAnsi="Courier New" w:cs="Courier New"/>
    </w:rPr>
  </w:style>
  <w:style w:type="table" w:customStyle="1" w:styleId="MediumGrid11">
    <w:name w:val="Medium Grid 11"/>
    <w:basedOn w:val="TableNormal"/>
    <w:uiPriority w:val="67"/>
    <w:rsid w:val="00203BDD"/>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203BD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203BDD"/>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203BDD"/>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203BDD"/>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203BDD"/>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203BDD"/>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uiPriority w:val="68"/>
    <w:rsid w:val="00203BDD"/>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203BDD"/>
    <w:rPr>
      <w:rFonts w:ascii="Cambria" w:eastAsia="Times New Roman"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203BDD"/>
    <w:rPr>
      <w:rFonts w:ascii="Cambria" w:eastAsia="Times New Roman"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203BDD"/>
    <w:rPr>
      <w:rFonts w:ascii="Cambria" w:eastAsia="Times New Roman"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203BDD"/>
    <w:rPr>
      <w:rFonts w:ascii="Cambria" w:eastAsia="Times New Roman"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203BDD"/>
    <w:rPr>
      <w:rFonts w:ascii="Cambria" w:eastAsia="Times New Roman"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203BDD"/>
    <w:rPr>
      <w:rFonts w:ascii="Cambria" w:eastAsia="Times New Roman"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uiPriority w:val="69"/>
    <w:rsid w:val="00203BD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203BD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203BD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203BD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203BD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203BD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203BD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uiPriority w:val="65"/>
    <w:rsid w:val="00203BD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uiPriority w:val="65"/>
    <w:rsid w:val="00203BDD"/>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203BDD"/>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203BDD"/>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203BDD"/>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203BDD"/>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203BDD"/>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Math" w:eastAsia="Times New Roman" w:hAnsi="Cambria Math"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uiPriority w:val="66"/>
    <w:rsid w:val="00203BDD"/>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203BDD"/>
    <w:rPr>
      <w:rFonts w:ascii="Cambria" w:eastAsia="Times New Roman"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203BDD"/>
    <w:rPr>
      <w:rFonts w:ascii="Cambria" w:eastAsia="Times New Roman"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203BDD"/>
    <w:rPr>
      <w:rFonts w:ascii="Cambria" w:eastAsia="Times New Roman"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203BDD"/>
    <w:rPr>
      <w:rFonts w:ascii="Cambria" w:eastAsia="Times New Roman"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203BDD"/>
    <w:rPr>
      <w:rFonts w:ascii="Cambria" w:eastAsia="Times New Roman"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203BDD"/>
    <w:rPr>
      <w:rFonts w:ascii="Cambria" w:eastAsia="Times New Roman"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uiPriority w:val="63"/>
    <w:rsid w:val="00203BDD"/>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203BD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203BDD"/>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03BDD"/>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03BDD"/>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03BDD"/>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203BDD"/>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203B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203B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03B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03B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03B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03B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03BD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203BD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Times New Roman" w:hAnsi="Cambria"/>
      <w:szCs w:val="24"/>
    </w:rPr>
  </w:style>
  <w:style w:type="character" w:customStyle="1" w:styleId="MessageHeaderChar">
    <w:name w:val="Message Header Char"/>
    <w:link w:val="MessageHeader"/>
    <w:uiPriority w:val="99"/>
    <w:semiHidden/>
    <w:rsid w:val="00203BDD"/>
    <w:rPr>
      <w:rFonts w:ascii="Cambria" w:eastAsia="Times New Roman" w:hAnsi="Cambria" w:cs="Times New Roman"/>
      <w:sz w:val="24"/>
      <w:szCs w:val="24"/>
      <w:shd w:val="pct20" w:color="auto" w:fill="auto"/>
    </w:rPr>
  </w:style>
  <w:style w:type="paragraph" w:styleId="NoSpacing">
    <w:name w:val="No Spacing"/>
    <w:uiPriority w:val="1"/>
    <w:qFormat/>
    <w:rsid w:val="00203BDD"/>
    <w:rPr>
      <w:sz w:val="24"/>
      <w:szCs w:val="22"/>
    </w:rPr>
  </w:style>
  <w:style w:type="paragraph" w:styleId="NormalWeb">
    <w:name w:val="Normal (Web)"/>
    <w:basedOn w:val="Normal"/>
    <w:uiPriority w:val="99"/>
    <w:semiHidden/>
    <w:unhideWhenUsed/>
    <w:rsid w:val="00203BDD"/>
    <w:rPr>
      <w:szCs w:val="24"/>
    </w:rPr>
  </w:style>
  <w:style w:type="paragraph" w:styleId="NormalIndent">
    <w:name w:val="Normal Indent"/>
    <w:basedOn w:val="Normal"/>
    <w:uiPriority w:val="99"/>
    <w:semiHidden/>
    <w:unhideWhenUsed/>
    <w:rsid w:val="00203BDD"/>
    <w:pPr>
      <w:ind w:left="720"/>
    </w:pPr>
  </w:style>
  <w:style w:type="paragraph" w:styleId="NoteHeading">
    <w:name w:val="Note Heading"/>
    <w:basedOn w:val="Normal"/>
    <w:next w:val="Normal"/>
    <w:link w:val="NoteHeadingChar"/>
    <w:uiPriority w:val="99"/>
    <w:semiHidden/>
    <w:unhideWhenUsed/>
    <w:rsid w:val="00203BDD"/>
  </w:style>
  <w:style w:type="character" w:customStyle="1" w:styleId="NoteHeadingChar">
    <w:name w:val="Note Heading Char"/>
    <w:link w:val="NoteHeading"/>
    <w:uiPriority w:val="99"/>
    <w:semiHidden/>
    <w:rsid w:val="00203BDD"/>
    <w:rPr>
      <w:sz w:val="24"/>
      <w:szCs w:val="22"/>
    </w:rPr>
  </w:style>
  <w:style w:type="character" w:styleId="PageNumber">
    <w:name w:val="page number"/>
    <w:uiPriority w:val="99"/>
    <w:semiHidden/>
    <w:unhideWhenUsed/>
    <w:rsid w:val="00203BDD"/>
  </w:style>
  <w:style w:type="character" w:styleId="PlaceholderText">
    <w:name w:val="Placeholder Text"/>
    <w:uiPriority w:val="99"/>
    <w:semiHidden/>
    <w:rsid w:val="00203BDD"/>
    <w:rPr>
      <w:color w:val="808080"/>
    </w:rPr>
  </w:style>
  <w:style w:type="paragraph" w:styleId="PlainText">
    <w:name w:val="Plain Text"/>
    <w:basedOn w:val="Normal"/>
    <w:link w:val="PlainTextChar"/>
    <w:uiPriority w:val="99"/>
    <w:semiHidden/>
    <w:unhideWhenUsed/>
    <w:rsid w:val="00203BDD"/>
    <w:rPr>
      <w:rFonts w:ascii="Courier New" w:hAnsi="Courier New" w:cs="Courier New"/>
      <w:sz w:val="20"/>
      <w:szCs w:val="20"/>
    </w:rPr>
  </w:style>
  <w:style w:type="character" w:customStyle="1" w:styleId="PlainTextChar">
    <w:name w:val="Plain Text Char"/>
    <w:link w:val="PlainText"/>
    <w:uiPriority w:val="99"/>
    <w:semiHidden/>
    <w:rsid w:val="00203BDD"/>
    <w:rPr>
      <w:rFonts w:ascii="Courier New" w:hAnsi="Courier New" w:cs="Courier New"/>
    </w:rPr>
  </w:style>
  <w:style w:type="paragraph" w:styleId="Quote">
    <w:name w:val="Quote"/>
    <w:basedOn w:val="Normal"/>
    <w:next w:val="Normal"/>
    <w:link w:val="QuoteChar"/>
    <w:uiPriority w:val="29"/>
    <w:qFormat/>
    <w:rsid w:val="00203BDD"/>
    <w:rPr>
      <w:i/>
      <w:iCs/>
      <w:color w:val="000000"/>
    </w:rPr>
  </w:style>
  <w:style w:type="character" w:customStyle="1" w:styleId="QuoteChar">
    <w:name w:val="Quote Char"/>
    <w:link w:val="Quote"/>
    <w:uiPriority w:val="29"/>
    <w:rsid w:val="00203BDD"/>
    <w:rPr>
      <w:i/>
      <w:iCs/>
      <w:color w:val="000000"/>
      <w:sz w:val="24"/>
      <w:szCs w:val="22"/>
    </w:rPr>
  </w:style>
  <w:style w:type="paragraph" w:styleId="Salutation">
    <w:name w:val="Salutation"/>
    <w:basedOn w:val="Normal"/>
    <w:next w:val="Normal"/>
    <w:link w:val="SalutationChar"/>
    <w:uiPriority w:val="99"/>
    <w:semiHidden/>
    <w:unhideWhenUsed/>
    <w:rsid w:val="00203BDD"/>
  </w:style>
  <w:style w:type="character" w:customStyle="1" w:styleId="SalutationChar">
    <w:name w:val="Salutation Char"/>
    <w:link w:val="Salutation"/>
    <w:uiPriority w:val="99"/>
    <w:semiHidden/>
    <w:rsid w:val="00203BDD"/>
    <w:rPr>
      <w:sz w:val="24"/>
      <w:szCs w:val="22"/>
    </w:rPr>
  </w:style>
  <w:style w:type="paragraph" w:styleId="Signature">
    <w:name w:val="Signature"/>
    <w:basedOn w:val="Normal"/>
    <w:link w:val="SignatureChar"/>
    <w:uiPriority w:val="99"/>
    <w:semiHidden/>
    <w:unhideWhenUsed/>
    <w:rsid w:val="00203BDD"/>
    <w:pPr>
      <w:ind w:left="4320"/>
    </w:pPr>
  </w:style>
  <w:style w:type="character" w:customStyle="1" w:styleId="SignatureChar">
    <w:name w:val="Signature Char"/>
    <w:link w:val="Signature"/>
    <w:uiPriority w:val="99"/>
    <w:semiHidden/>
    <w:rsid w:val="00203BDD"/>
    <w:rPr>
      <w:sz w:val="24"/>
      <w:szCs w:val="22"/>
    </w:rPr>
  </w:style>
  <w:style w:type="character" w:styleId="Strong">
    <w:name w:val="Strong"/>
    <w:uiPriority w:val="22"/>
    <w:qFormat/>
    <w:rsid w:val="00203BDD"/>
    <w:rPr>
      <w:b/>
      <w:bCs/>
    </w:rPr>
  </w:style>
  <w:style w:type="paragraph" w:styleId="Subtitle">
    <w:name w:val="Subtitle"/>
    <w:basedOn w:val="Normal"/>
    <w:next w:val="Normal"/>
    <w:link w:val="SubtitleChar"/>
    <w:uiPriority w:val="11"/>
    <w:qFormat/>
    <w:rsid w:val="00203BDD"/>
    <w:pPr>
      <w:spacing w:after="60"/>
      <w:jc w:val="center"/>
      <w:outlineLvl w:val="1"/>
    </w:pPr>
    <w:rPr>
      <w:rFonts w:ascii="Cambria" w:eastAsia="Times New Roman" w:hAnsi="Cambria"/>
      <w:szCs w:val="24"/>
    </w:rPr>
  </w:style>
  <w:style w:type="character" w:customStyle="1" w:styleId="SubtitleChar">
    <w:name w:val="Subtitle Char"/>
    <w:link w:val="Subtitle"/>
    <w:uiPriority w:val="11"/>
    <w:rsid w:val="00203BDD"/>
    <w:rPr>
      <w:rFonts w:ascii="Cambria" w:eastAsia="Times New Roman" w:hAnsi="Cambria" w:cs="Times New Roman"/>
      <w:sz w:val="24"/>
      <w:szCs w:val="24"/>
    </w:rPr>
  </w:style>
  <w:style w:type="character" w:styleId="SubtleEmphasis">
    <w:name w:val="Subtle Emphasis"/>
    <w:uiPriority w:val="19"/>
    <w:qFormat/>
    <w:rsid w:val="00203BDD"/>
    <w:rPr>
      <w:i/>
      <w:iCs/>
      <w:color w:val="808080"/>
    </w:rPr>
  </w:style>
  <w:style w:type="character" w:styleId="SubtleReference">
    <w:name w:val="Subtle Reference"/>
    <w:uiPriority w:val="31"/>
    <w:qFormat/>
    <w:rsid w:val="00203BDD"/>
    <w:rPr>
      <w:smallCaps/>
      <w:color w:val="C0504D"/>
      <w:u w:val="single"/>
    </w:rPr>
  </w:style>
  <w:style w:type="table" w:styleId="Table3Deffects1">
    <w:name w:val="Table 3D effects 1"/>
    <w:basedOn w:val="TableNormal"/>
    <w:uiPriority w:val="99"/>
    <w:semiHidden/>
    <w:unhideWhenUsed/>
    <w:rsid w:val="00203BDD"/>
    <w:pPr>
      <w:spacing w:after="200" w:line="276"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03BDD"/>
    <w:pPr>
      <w:spacing w:after="200" w:line="276"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03BDD"/>
    <w:pPr>
      <w:spacing w:after="200" w:line="276"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03BDD"/>
    <w:pPr>
      <w:spacing w:after="200" w:line="276"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03BDD"/>
    <w:pPr>
      <w:spacing w:after="200" w:line="276"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03BDD"/>
    <w:pPr>
      <w:spacing w:after="200" w:line="276"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03BDD"/>
    <w:pPr>
      <w:spacing w:after="200" w:line="276"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03BDD"/>
    <w:pPr>
      <w:spacing w:after="200" w:line="276"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03BDD"/>
    <w:pPr>
      <w:spacing w:after="200" w:line="276"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03BDD"/>
    <w:pPr>
      <w:spacing w:after="200" w:line="276"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03BD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03BDD"/>
    <w:pPr>
      <w:spacing w:after="200" w:line="276"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03BDD"/>
    <w:pPr>
      <w:spacing w:after="200" w:line="276"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03BDD"/>
    <w:pPr>
      <w:spacing w:after="200" w:line="276"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03BDD"/>
    <w:pPr>
      <w:spacing w:after="200" w:line="276"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03BDD"/>
    <w:pPr>
      <w:spacing w:after="200" w:line="276"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03BDD"/>
    <w:pPr>
      <w:spacing w:after="200" w:line="276"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03BDD"/>
    <w:pPr>
      <w:spacing w:after="200" w:line="276"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03BDD"/>
    <w:pPr>
      <w:spacing w:after="200" w:line="276"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03BDD"/>
    <w:pPr>
      <w:spacing w:after="200" w:line="276"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03BDD"/>
    <w:pPr>
      <w:spacing w:after="200" w:line="276"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03BDD"/>
    <w:pPr>
      <w:spacing w:after="200"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03BDD"/>
    <w:pPr>
      <w:spacing w:after="200" w:line="276"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03BDD"/>
    <w:pPr>
      <w:spacing w:after="200" w:line="276"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03BDD"/>
    <w:pPr>
      <w:spacing w:after="200" w:line="276"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203BDD"/>
    <w:pPr>
      <w:spacing w:after="200" w:line="276"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03BDD"/>
    <w:pPr>
      <w:spacing w:after="200" w:line="276"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03BDD"/>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03BDD"/>
    <w:pPr>
      <w:spacing w:after="200"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03BDD"/>
    <w:pPr>
      <w:spacing w:after="200" w:line="276"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03BDD"/>
    <w:pPr>
      <w:spacing w:after="200" w:line="276"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03BDD"/>
    <w:pPr>
      <w:spacing w:after="200" w:line="276"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03BDD"/>
    <w:pPr>
      <w:spacing w:after="200" w:line="276"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03BDD"/>
    <w:pPr>
      <w:ind w:left="240" w:hanging="240"/>
    </w:pPr>
  </w:style>
  <w:style w:type="paragraph" w:styleId="TableofFigures">
    <w:name w:val="table of figures"/>
    <w:basedOn w:val="Normal"/>
    <w:next w:val="Normal"/>
    <w:uiPriority w:val="99"/>
    <w:semiHidden/>
    <w:unhideWhenUsed/>
    <w:rsid w:val="00203BDD"/>
  </w:style>
  <w:style w:type="table" w:styleId="TableProfessional">
    <w:name w:val="Table Professional"/>
    <w:basedOn w:val="TableNormal"/>
    <w:uiPriority w:val="99"/>
    <w:semiHidden/>
    <w:unhideWhenUsed/>
    <w:rsid w:val="00203BDD"/>
    <w:pPr>
      <w:spacing w:after="200" w:line="276"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03BDD"/>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03BDD"/>
    <w:pPr>
      <w:spacing w:after="200" w:line="276"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03BDD"/>
    <w:pPr>
      <w:spacing w:after="200" w:line="276"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03BDD"/>
    <w:pPr>
      <w:spacing w:after="200" w:line="276"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03BDD"/>
    <w:pPr>
      <w:spacing w:after="200" w:line="276"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03BD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03BDD"/>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03BDD"/>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03BDD"/>
    <w:pPr>
      <w:spacing w:after="200" w:line="276"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203BDD"/>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203BDD"/>
    <w:rPr>
      <w:rFonts w:ascii="Cambria" w:eastAsia="Times New Roman" w:hAnsi="Cambria" w:cs="Times New Roman"/>
      <w:b/>
      <w:bCs/>
      <w:kern w:val="28"/>
      <w:sz w:val="32"/>
      <w:szCs w:val="32"/>
    </w:rPr>
  </w:style>
  <w:style w:type="paragraph" w:styleId="TOAHeading">
    <w:name w:val="toa heading"/>
    <w:basedOn w:val="Normal"/>
    <w:next w:val="Normal"/>
    <w:uiPriority w:val="99"/>
    <w:semiHidden/>
    <w:unhideWhenUsed/>
    <w:rsid w:val="00203BDD"/>
    <w:pPr>
      <w:spacing w:before="120"/>
    </w:pPr>
    <w:rPr>
      <w:rFonts w:ascii="Cambria" w:eastAsia="Times New Roman" w:hAnsi="Cambria"/>
      <w:b/>
      <w:bCs/>
      <w:szCs w:val="24"/>
    </w:rPr>
  </w:style>
  <w:style w:type="paragraph" w:styleId="TOC1">
    <w:name w:val="toc 1"/>
    <w:basedOn w:val="Normal"/>
    <w:next w:val="Normal"/>
    <w:autoRedefine/>
    <w:uiPriority w:val="39"/>
    <w:semiHidden/>
    <w:unhideWhenUsed/>
    <w:rsid w:val="00203BDD"/>
  </w:style>
  <w:style w:type="paragraph" w:styleId="TOC2">
    <w:name w:val="toc 2"/>
    <w:basedOn w:val="Normal"/>
    <w:next w:val="Normal"/>
    <w:autoRedefine/>
    <w:uiPriority w:val="39"/>
    <w:semiHidden/>
    <w:unhideWhenUsed/>
    <w:rsid w:val="00203BDD"/>
    <w:pPr>
      <w:ind w:left="240"/>
    </w:pPr>
  </w:style>
  <w:style w:type="paragraph" w:styleId="TOC3">
    <w:name w:val="toc 3"/>
    <w:basedOn w:val="Normal"/>
    <w:next w:val="Normal"/>
    <w:autoRedefine/>
    <w:uiPriority w:val="39"/>
    <w:semiHidden/>
    <w:unhideWhenUsed/>
    <w:rsid w:val="00203BDD"/>
    <w:pPr>
      <w:ind w:left="480"/>
    </w:pPr>
  </w:style>
  <w:style w:type="paragraph" w:styleId="TOC4">
    <w:name w:val="toc 4"/>
    <w:basedOn w:val="Normal"/>
    <w:next w:val="Normal"/>
    <w:autoRedefine/>
    <w:uiPriority w:val="39"/>
    <w:semiHidden/>
    <w:unhideWhenUsed/>
    <w:rsid w:val="00203BDD"/>
    <w:pPr>
      <w:ind w:left="720"/>
    </w:pPr>
  </w:style>
  <w:style w:type="paragraph" w:styleId="TOC5">
    <w:name w:val="toc 5"/>
    <w:basedOn w:val="Normal"/>
    <w:next w:val="Normal"/>
    <w:autoRedefine/>
    <w:uiPriority w:val="39"/>
    <w:semiHidden/>
    <w:unhideWhenUsed/>
    <w:rsid w:val="00203BDD"/>
    <w:pPr>
      <w:ind w:left="960"/>
    </w:pPr>
  </w:style>
  <w:style w:type="paragraph" w:styleId="TOC6">
    <w:name w:val="toc 6"/>
    <w:basedOn w:val="Normal"/>
    <w:next w:val="Normal"/>
    <w:autoRedefine/>
    <w:uiPriority w:val="39"/>
    <w:semiHidden/>
    <w:unhideWhenUsed/>
    <w:rsid w:val="00203BDD"/>
    <w:pPr>
      <w:ind w:left="1200"/>
    </w:pPr>
  </w:style>
  <w:style w:type="paragraph" w:styleId="TOC7">
    <w:name w:val="toc 7"/>
    <w:basedOn w:val="Normal"/>
    <w:next w:val="Normal"/>
    <w:autoRedefine/>
    <w:uiPriority w:val="39"/>
    <w:semiHidden/>
    <w:unhideWhenUsed/>
    <w:rsid w:val="00203BDD"/>
    <w:pPr>
      <w:ind w:left="1440"/>
    </w:pPr>
  </w:style>
  <w:style w:type="paragraph" w:styleId="TOC8">
    <w:name w:val="toc 8"/>
    <w:basedOn w:val="Normal"/>
    <w:next w:val="Normal"/>
    <w:autoRedefine/>
    <w:uiPriority w:val="39"/>
    <w:semiHidden/>
    <w:unhideWhenUsed/>
    <w:rsid w:val="00203BDD"/>
    <w:pPr>
      <w:ind w:left="1680"/>
    </w:pPr>
  </w:style>
  <w:style w:type="paragraph" w:styleId="TOC9">
    <w:name w:val="toc 9"/>
    <w:basedOn w:val="Normal"/>
    <w:next w:val="Normal"/>
    <w:autoRedefine/>
    <w:uiPriority w:val="39"/>
    <w:semiHidden/>
    <w:unhideWhenUsed/>
    <w:rsid w:val="00203BDD"/>
    <w:pPr>
      <w:ind w:left="1920"/>
    </w:pPr>
  </w:style>
  <w:style w:type="paragraph" w:styleId="TOCHeading">
    <w:name w:val="TOC Heading"/>
    <w:basedOn w:val="Heading1"/>
    <w:next w:val="Normal"/>
    <w:uiPriority w:val="39"/>
    <w:semiHidden/>
    <w:unhideWhenUsed/>
    <w:qFormat/>
    <w:rsid w:val="00203BDD"/>
    <w:pPr>
      <w:numPr>
        <w:numId w:val="0"/>
      </w:numPr>
      <w:spacing w:before="240" w:after="60" w:line="276" w:lineRule="auto"/>
      <w:outlineLvl w:val="9"/>
    </w:pPr>
    <w:rPr>
      <w:rFonts w:ascii="Cambria" w:eastAsia="Times New Roman" w:hAnsi="Cambria"/>
      <w:b/>
      <w:bCs/>
      <w:kern w:val="32"/>
      <w:sz w:val="32"/>
      <w:szCs w:val="32"/>
    </w:rPr>
  </w:style>
  <w:style w:type="paragraph" w:customStyle="1" w:styleId="st1Confirm">
    <w:name w:val="st_1_Confirm"/>
    <w:basedOn w:val="Normal"/>
    <w:rsid w:val="00FD7116"/>
    <w:pPr>
      <w:tabs>
        <w:tab w:val="left" w:pos="2880"/>
        <w:tab w:val="left" w:pos="4320"/>
        <w:tab w:val="left" w:pos="5760"/>
      </w:tabs>
      <w:autoSpaceDE w:val="0"/>
      <w:autoSpaceDN w:val="0"/>
      <w:adjustRightInd w:val="0"/>
      <w:spacing w:after="0" w:line="240" w:lineRule="exact"/>
      <w:ind w:left="2880" w:hanging="2880"/>
      <w:jc w:val="both"/>
    </w:pPr>
    <w:rPr>
      <w:rFonts w:ascii="NewCenturySchlbk" w:eastAsia="Times New Roman" w:hAnsi="NewCenturySchlbk"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72452954">
      <w:bodyDiv w:val="1"/>
      <w:marLeft w:val="0"/>
      <w:marRight w:val="0"/>
      <w:marTop w:val="0"/>
      <w:marBottom w:val="0"/>
      <w:divBdr>
        <w:top w:val="none" w:sz="0" w:space="0" w:color="auto"/>
        <w:left w:val="none" w:sz="0" w:space="0" w:color="auto"/>
        <w:bottom w:val="none" w:sz="0" w:space="0" w:color="auto"/>
        <w:right w:val="none" w:sz="0" w:space="0" w:color="auto"/>
      </w:divBdr>
    </w:div>
    <w:div w:id="1286305467">
      <w:bodyDiv w:val="1"/>
      <w:marLeft w:val="0"/>
      <w:marRight w:val="0"/>
      <w:marTop w:val="0"/>
      <w:marBottom w:val="0"/>
      <w:divBdr>
        <w:top w:val="none" w:sz="0" w:space="0" w:color="auto"/>
        <w:left w:val="none" w:sz="0" w:space="0" w:color="auto"/>
        <w:bottom w:val="none" w:sz="0" w:space="0" w:color="auto"/>
        <w:right w:val="none" w:sz="0" w:space="0" w:color="auto"/>
      </w:divBdr>
    </w:div>
    <w:div w:id="1831173237">
      <w:bodyDiv w:val="1"/>
      <w:marLeft w:val="0"/>
      <w:marRight w:val="0"/>
      <w:marTop w:val="0"/>
      <w:marBottom w:val="0"/>
      <w:divBdr>
        <w:top w:val="none" w:sz="0" w:space="0" w:color="auto"/>
        <w:left w:val="none" w:sz="0" w:space="0" w:color="auto"/>
        <w:bottom w:val="none" w:sz="0" w:space="0" w:color="auto"/>
        <w:right w:val="none" w:sz="0" w:space="0" w:color="auto"/>
      </w:divBdr>
    </w:div>
    <w:div w:id="20650570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20" Type="http://schemas.openxmlformats.org/officeDocument/2006/relationships/customXml" Target="../customXml/item3.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A3D9718964154FB2494D168FD32F04" ma:contentTypeVersion="0" ma:contentTypeDescription="Create a new document." ma:contentTypeScope="" ma:versionID="e264155934ff15e880bc2bbb84ef7f1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512F1BB-A036-4E71-A3EB-CEED302A77D7}"/>
</file>

<file path=customXml/itemProps2.xml><?xml version="1.0" encoding="utf-8"?>
<ds:datastoreItem xmlns:ds="http://schemas.openxmlformats.org/officeDocument/2006/customXml" ds:itemID="{774CE8BD-96E2-472A-AB31-0583F63C2DAD}"/>
</file>

<file path=customXml/itemProps3.xml><?xml version="1.0" encoding="utf-8"?>
<ds:datastoreItem xmlns:ds="http://schemas.openxmlformats.org/officeDocument/2006/customXml" ds:itemID="{F38719D6-8566-4F3E-8819-F67862E0043E}"/>
</file>

<file path=docProps/app.xml><?xml version="1.0" encoding="utf-8"?>
<Properties xmlns="http://schemas.openxmlformats.org/officeDocument/2006/extended-properties" xmlns:vt="http://schemas.openxmlformats.org/officeDocument/2006/docPropsVTypes">
  <Template>Normal.dotm</Template>
  <TotalTime>0</TotalTime>
  <Pages>9</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2014-02-26T05:23:00Z</dcterms:created>
  <dcterms:modified xsi:type="dcterms:W3CDTF">2014-02-26T05:30:00Z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0x010100B8A3D9718964154FB2494D168FD32F04</vt:lpwstr>
  </property>
</Properties>
</file>