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</w:pPr>
      <w:r>
        <w:rPr>
          <w:rFonts w:ascii="Calibri" w:cs="Calibri" w:eastAsia="Calibri" w:hAnsi="Calibri"/>
          <w:b/>
          <w:bCs/>
          <w:color w:val="0F766E"/>
          <w:spacing w:val="30"/>
          <w:sz w:val="16"/>
          <w:szCs w:val="16"/>
        </w:rPr>
        <w:t xml:space="preserve">HPE SELF-DRIVING INNOVATION CHALLENGE  ·  WHITE-PAPER ABSTRACT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0E1B33"/>
          <w:sz w:val="30"/>
          <w:szCs w:val="30"/>
        </w:rPr>
        <w:t xml:space="preserve">Self-Securing 5G Core: An AI Closed-Loop for Autonomous Threat Mitigation on Juniper SRX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An always-on ML sensor gates an agentic-AI decision layer that autonomously enforces GTP/PFCP policy on HPE–Juniper SRX — a guardrailed, self-securing capability for the 5G user plane.</w:t>
      </w:r>
    </w:p>
    <w:p>
      <w:pPr>
        <w:pBdr>
          <w:bottom w:val="single" w:color="C9D6E8" w:sz="6" w:space="3"/>
        </w:pBdr>
        <w:spacing w:after="40"/>
      </w:pPr>
      <w:r>
        <w:rPr>
          <w:rFonts w:ascii="Calibri" w:cs="Calibri" w:eastAsia="Calibri" w:hAnsi="Calibri"/>
          <w:b/>
          <w:bCs/>
          <w:color w:val="1A2740"/>
          <w:sz w:val="20"/>
          <w:szCs w:val="20"/>
        </w:rPr>
        <w:t xml:space="preserve">Andy Leung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 ·   [Team / Organization]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1 · The opportunity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The 5G user plane — GTP-U on N3 and PFCP on N4, terminated at the UPF — is a high-value, exposed attack surface, and private-5G and multi-access edge computing (MEC) push UPFs into physically less-trusted locations. Volumetric tunnel floods, malformed-packet parser attacks, and PFCP session/association abuse can degrade or drop service within seconds. The conventional response loop — detect, ticket, human triage, manual firewall change — takes minutes to hours. The opportunity is an autonomous, closed-loop capability that detects a user-plane attack and reconfigures enforcement in seconds, with no human in the critical path: a self-securing 5G core that cuts mean-time-to-mitigate from minutes to seconds and relieves the SOC for operators running private 5G.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2 · The innovation — a self-securing closed loop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The capability is a closed control loop —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detect → decide → enforce → verify → learn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— wrapped around the 5G core (Figure 1). An always-on machine-learning sensor scores N3/N4 traffic; on a genuine anomaly an agentic-AI layer classifies it and selects a graduated response; a Juniper SRX firewall enforces the policy; the loop then verifies the action reduced the anomaly without harming benign traffic and feeds the outcome back to the model. Unlike a conventional IDS, which stops at an alert, this system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decides, enforces natively on SRX, verifies, and learns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— autonomously and within guardrails.</w:t>
      </w:r>
    </w:p>
    <w:p>
      <w:pPr>
        <w:spacing w:after="14" w:before="40"/>
        <w:jc w:val="center"/>
      </w:pPr>
      <w:r>
        <w:drawing>
          <wp:inline distT="0" distB="0" distL="0" distR="0">
            <wp:extent cx="615315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Figure 1 — The self-securing closed loop: an ML sensor gates an agentic decision layer that enforces on SRX, then verifies and learns, all behind safety guardrails.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3 · Architecture and HPE portfolio fit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Every stage maps to an HPE portfolio element (Figure 2). The ML sensor runs on GPU infrastructure (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HPE Private Cloud AI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). A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token-efficiency gate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sits between sensing and decision: the low-cost detector gates the costly LLM agent, which is invoked only when an anomaly is real. The agentic decision layer is built on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HPE’s agentic AIOps framework (e.g., OpsRamp)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rather than from scratch. Enforcement uses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Juniper SRX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— physical, vSRX, or cSRX — applying dynamic, GTP/PFCP-aware policy. The whole capability is delivered and monetized through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HPE GreenLake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, so a single loop spans HPE security, AI infrastructure, and consumption businesses — a natural cross-sell / up-sell motion.</w:t>
      </w:r>
    </w:p>
    <w:p>
      <w:pPr>
        <w:spacing w:after="14" w:before="40"/>
        <w:jc w:val="center"/>
      </w:pPr>
      <w:r>
        <w:drawing>
          <wp:inline distT="0" distB="0" distL="0" distR="0">
            <wp:extent cx="5334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Calibri" w:cs="Calibri" w:eastAsia="Calibri" w:hAnsi="Calibri"/>
          <w:i/>
          <w:iCs/>
          <w:color w:val="475569"/>
          <w:sz w:val="16"/>
          <w:szCs w:val="16"/>
        </w:rPr>
        <w:t xml:space="preserve">Figure 2 — Each loop stage maps to an HPE product; the token-efficiency gate ensures the agent runs only on real anomalies.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4 · How the loop responds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Detection maps to a graduated, least-disruptive enforcement action, executed on SRX and then verified:</w:t>
      </w:r>
    </w:p>
    <w:tbl>
      <w:tblPr>
        <w:tblW w:type="dxa" w:w="9792"/>
        <w:tblBorders>
          <w:top w:val="single" w:color="C9D6E8" w:sz="3"/>
          <w:left w:val="single" w:color="C9D6E8" w:sz="3"/>
          <w:bottom w:val="single" w:color="C9D6E8" w:sz="3"/>
          <w:right w:val="single" w:color="C9D6E8" w:sz="3"/>
          <w:insideH w:val="single" w:color="C9D6E8" w:sz="3"/>
          <w:insideV w:val="single" w:color="C9D6E8" w:sz="3"/>
        </w:tblBorders>
      </w:tblPr>
      <w:tblGrid>
        <w:gridCol w:w="2450"/>
        <w:gridCol w:w="3150"/>
        <w:gridCol w:w="4192"/>
      </w:tblGrid>
      <w:tr>
        <w:tc>
          <w:tcPr>
            <w:tcW w:type="dxa" w:w="2450"/>
            <w:shd w:fill="0E1B33" w:color="auto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Attack (interface)</w:t>
            </w:r>
          </w:p>
        </w:tc>
        <w:tc>
          <w:tcPr>
            <w:tcW w:type="dxa" w:w="3150"/>
            <w:shd w:fill="0E1B33" w:color="auto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Detector signal</w:t>
            </w:r>
          </w:p>
        </w:tc>
        <w:tc>
          <w:tcPr>
            <w:tcW w:type="dxa" w:w="4192"/>
            <w:shd w:fill="0E1B33" w:color="auto" w:val="clear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Autonomous response on SRX</w:t>
            </w:r>
          </w:p>
        </w:tc>
      </w:tr>
      <w:tr>
        <w:tc>
          <w:tcPr>
            <w:tcW w:type="dxa" w:w="24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GTP-U flood (N3)</w:t>
            </w:r>
          </w:p>
        </w:tc>
        <w:tc>
          <w:tcPr>
            <w:tcW w:type="dxa" w:w="31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packet/byte-rate spike</w:t>
            </w:r>
          </w:p>
        </w:tc>
        <w:tc>
          <w:tcPr>
            <w:tcW w:type="dxa" w:w="4192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apply rate-limit screen; escalate to block the source</w:t>
            </w:r>
          </w:p>
        </w:tc>
      </w:tr>
      <w:tr>
        <w:tc>
          <w:tcPr>
            <w:tcW w:type="dxa" w:w="24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Malformed GTP-U (N3)</w:t>
            </w:r>
          </w:p>
        </w:tc>
        <w:tc>
          <w:tcPr>
            <w:tcW w:type="dxa" w:w="31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structural feature anomaly</w:t>
            </w:r>
          </w:p>
        </w:tc>
        <w:tc>
          <w:tcPr>
            <w:tcW w:type="dxa" w:w="4192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drop malformed flows by policy; quarantine source</w:t>
            </w:r>
          </w:p>
        </w:tc>
      </w:tr>
      <w:tr>
        <w:tc>
          <w:tcPr>
            <w:tcW w:type="dxa" w:w="24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PFCP session flood (N4)</w:t>
            </w:r>
          </w:p>
        </w:tc>
        <w:tc>
          <w:tcPr>
            <w:tcW w:type="dxa" w:w="31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N4 message-rate spike</w:t>
            </w:r>
          </w:p>
        </w:tc>
        <w:tc>
          <w:tcPr>
            <w:tcW w:type="dxa" w:w="4192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rate-limit N4; restrict PFCP to the SMF source only</w:t>
            </w:r>
          </w:p>
        </w:tc>
      </w:tr>
      <w:tr>
        <w:tc>
          <w:tcPr>
            <w:tcW w:type="dxa" w:w="24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PFCP association abuse (N4)</w:t>
            </w:r>
          </w:p>
        </w:tc>
        <w:tc>
          <w:tcPr>
            <w:tcW w:type="dxa" w:w="3150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association-churn pattern</w:t>
            </w:r>
          </w:p>
        </w:tc>
        <w:tc>
          <w:tcPr>
            <w:tcW w:type="dxa" w:w="4192"/>
            <w:tcMar>
              <w:top w:type="dxa" w:w="44"/>
              <w:left w:type="dxa" w:w="100"/>
              <w:bottom w:type="dxa" w:w="44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740"/>
                <w:sz w:val="17"/>
                <w:szCs w:val="17"/>
              </w:rPr>
              <w:t xml:space="preserve">throttle; flag for human review (high-impact)</w:t>
            </w:r>
          </w:p>
        </w:tc>
      </w:tr>
    </w:tbl>
    <w:p>
      <w:pPr>
        <w:spacing w:after="70"/>
      </w:pPr>
      <w:r>
        <w:rPr>
          <w:sz w:val="8"/>
          <w:szCs w:val="8"/>
        </w:rPr>
        <w:t xml:space="preserve"/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5 · Safety guardrails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Action allow-list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the agent may issue only pre-approved SRX policy templates.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Graduated response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least-disruptive first — rate-limit before block before slice isolation.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Human-in-the-loop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high-impact actions (e.g., isolating a slice) require operator approval.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Verify-and-rollback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every action is measured and auto-reverts if it fails to reduce the anomaly or harms benign traffic.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Scoped blast radius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actions are confined per UPF / slice / edge, with a full audit trail.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6 · Proof of feasibility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A running proof of concept already exists: an Open5GS 5G-SA core with a UERANSIM RAN, a curated corpus of N3/N4 attacks, an ML anomaly detector, and SRX (cSRX) enforcement, all on a single GPU host. Trained only on benign traffic, the detector separates benign from attack at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ROC-AUC 1.000 (GPU autoencoder) and 0.989 (IsolationForest), with 100% recall across four attack classes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and ~5% benign false-alarm; SRX screens rate-limit volumetric floods. This de-risks the two hardest elements of the loop — detection and enforcement — leaving the agentic decision layer and framework integration as the primary remaining build.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7 · Customer value and competitive differentiation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For operators, the loop cuts mean-time-to-mitigate from minutes to seconds and offloads repetitive triage from the SOC; for HPE support, the same telemetry becomes a self-reporting, self-healing signal. Crucially, unlike cloud-hosted control offerings, this capability </w:t>
      </w:r>
      <w:r>
        <w:rPr>
          <w:rFonts w:ascii="Calibri" w:cs="Calibri" w:eastAsia="Calibri" w:hAnsi="Calibri"/>
          <w:b/>
          <w:bCs/>
          <w:color w:val="1A2740"/>
          <w:sz w:val="21"/>
          <w:szCs w:val="21"/>
        </w:rPr>
        <w:t xml:space="preserve">runs where the data plane runs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 — on-premises or at the edge — so detection and enforcement stay local (low latency, data sovereignty) and are carried out by SRX the operator already owns. It is self-contained per site rather than dependent on a vendor’s control cloud — a direct, defensible counter to cloud-control marketing.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8 · Token efficiency, scaling and production use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Token efficiency is designed in: because a non-LLM detector pre-filters, the agent consumes tokens only on genuine incidents — orders of magnitude fewer than always-on LLM monitoring. Tiered models (a small model for routine classification, escalating only when needed), cached response templates, per-tenant token budgets, and usage dashboards keep spend observable and bounded. The design scales out linearly: per-UPF / slice / edge sensors score locally with GPU batching and report to a central agent that pushes policy to the nearest SRX — new sites add sensors, not bottlenecks.</w:t>
      </w:r>
    </w:p>
    <w:p>
      <w:pPr>
        <w:spacing w:after="52" w:before="150"/>
      </w:pPr>
      <w:r>
        <w:rPr>
          <w:rFonts w:ascii="Calibri" w:cs="Calibri" w:eastAsia="Calibri" w:hAnsi="Calibri"/>
          <w:b/>
          <w:bCs/>
          <w:color w:val="0E1B33"/>
          <w:sz w:val="23"/>
          <w:szCs w:val="23"/>
        </w:rPr>
        <w:t xml:space="preserve">9 · Monetization and path to commercialization</w:t>
      </w:r>
    </w:p>
    <w:p>
      <w:pPr>
        <w:spacing w:after="92" w:line="250"/>
        <w:jc w:val="both"/>
      </w:pPr>
      <w:r>
        <w:rPr>
          <w:rFonts w:ascii="Calibri" w:cs="Calibri" w:eastAsia="Calibri" w:hAnsi="Calibri"/>
          <w:color w:val="1A2740"/>
          <w:sz w:val="21"/>
          <w:szCs w:val="21"/>
        </w:rPr>
        <w:t xml:space="preserve">Monetization follows HPE’s consumption model: an “AI-Security for 5G” subscription add-on to SRX on GreenLake, priced per site or slice, or a managed private-5G security service bundling SRX, Private Cloud AI, and GreenLake. The path to market reuses existing HPE frameworks to shorten time-to-market and sharpen the competitive answer to cloud-control offerings: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Phase 1 · Prove (today)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5G core, N3/N4 attacks, ML detection, and SRX enforcement demonstrated on a GPU host.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Phase 2 · Close the loop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agentic decision layer on HPE’s agentic AIOps framework, with certified guardrails.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Phase 3 · Pilot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design-partner trials with private-5G / MEC operators; measure mean-time-to-mitigate reduction.</w:t>
      </w:r>
    </w:p>
    <w:p>
      <w:pPr>
        <w:pStyle w:val="ListParagraph"/>
        <w:numPr>
          <w:ilvl w:val="0"/>
          <w:numId w:val="1"/>
        </w:numPr>
        <w:spacing w:after="34" w:line="238"/>
      </w:pPr>
      <w:r>
        <w:rPr>
          <w:rFonts w:ascii="Calibri" w:cs="Calibri" w:eastAsia="Calibri" w:hAnsi="Calibri"/>
          <w:b/>
          <w:bCs/>
          <w:color w:val="0E1B33"/>
          <w:sz w:val="21"/>
          <w:szCs w:val="21"/>
        </w:rPr>
        <w:t xml:space="preserve">Phase 4 · Productize — </w:t>
      </w:r>
      <w:r>
        <w:rPr>
          <w:rFonts w:ascii="Calibri" w:cs="Calibri" w:eastAsia="Calibri" w:hAnsi="Calibri"/>
          <w:color w:val="1A2740"/>
          <w:sz w:val="21"/>
          <w:szCs w:val="21"/>
        </w:rPr>
        <w:t xml:space="preserve">GreenLake catalog offering with per-site / per-slice subscription and managed-service option.</w:t>
      </w:r>
    </w:p>
    <w:p>
      <w:pPr>
        <w:pBdr>
          <w:top w:val="single" w:color="C9D6E8" w:sz="6" w:space="4"/>
        </w:pBdr>
        <w:spacing w:after="0" w:before="60"/>
      </w:pPr>
      <w:r>
        <w:rPr>
          <w:rFonts w:ascii="Calibri" w:cs="Calibri" w:eastAsia="Calibri" w:hAnsi="Calibri"/>
          <w:b/>
          <w:bCs/>
          <w:color w:val="0E1B33"/>
          <w:sz w:val="19"/>
          <w:szCs w:val="19"/>
        </w:rPr>
        <w:t xml:space="preserve">Challenge fit: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scope / architecture / guardrails (§2–5) · customer &amp; support benefits (§1, §7) · scope across HPE businesses (§3) · monetization &amp; commercialization (§9) · complements HPE’s agentic framework (§3) · token-usage management (§8) · production scaling (§8).</w:t>
      </w:r>
    </w:p>
    <w:sectPr>
      <w:pgSz w:w="12240" w:h="15840" w:orient="portrait"/>
      <w:pgMar w:top="1180" w:right="1224" w:bottom="112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30b9885f10770b2a78ddcf6031836c0db86014.png"/><Relationship Id="rId8" Type="http://schemas.openxmlformats.org/officeDocument/2006/relationships/image" Target="media/2cf46ca89bd8401acedc2d2cd12f78bddb1bc0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Self-Securing 5G Core</dc:title>
  <dc:creator>Andy Leung</dc:creator>
  <cp:lastModifiedBy>Un-named</cp:lastModifiedBy>
  <cp:revision>1</cp:revision>
  <dcterms:created xsi:type="dcterms:W3CDTF">2026-08-07T02:58:58.518Z</dcterms:created>
  <dcterms:modified xsi:type="dcterms:W3CDTF">2026-08-07T02:58:58.518Z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