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0"/>
          <w:szCs w:val="40"/>
        </w:rPr>
      </w:pPr>
      <w:bookmarkStart w:colFirst="0" w:colLast="0" w:name="_cblsdqd3h7oi" w:id="0"/>
      <w:bookmarkEnd w:id="0"/>
      <w:r w:rsidDel="00000000" w:rsidR="00000000" w:rsidRPr="00000000">
        <w:rPr>
          <w:rFonts w:ascii="Times New Roman" w:cs="Times New Roman" w:eastAsia="Times New Roman" w:hAnsi="Times New Roman"/>
          <w:sz w:val="40"/>
          <w:szCs w:val="40"/>
          <w:rtl w:val="0"/>
        </w:rPr>
        <w:t xml:space="preserve">STAT 4011</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40"/>
          <w:szCs w:val="40"/>
        </w:rPr>
      </w:pPr>
      <w:bookmarkStart w:colFirst="0" w:colLast="0" w:name="_dij9z67w5u7k" w:id="1"/>
      <w:bookmarkEnd w:id="1"/>
      <w:r w:rsidDel="00000000" w:rsidR="00000000" w:rsidRPr="00000000">
        <w:rPr>
          <w:rFonts w:ascii="Times New Roman" w:cs="Times New Roman" w:eastAsia="Times New Roman" w:hAnsi="Times New Roman"/>
          <w:sz w:val="40"/>
          <w:szCs w:val="40"/>
          <w:rtl w:val="0"/>
        </w:rPr>
        <w:t xml:space="preserve">Project 1</w:t>
      </w: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sz w:val="40"/>
          <w:szCs w:val="40"/>
        </w:rPr>
      </w:pPr>
      <w:bookmarkStart w:colFirst="0" w:colLast="0" w:name="_c942dx4ydf6h" w:id="2"/>
      <w:bookmarkEnd w:id="2"/>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sz w:val="40"/>
          <w:szCs w:val="40"/>
        </w:rPr>
      </w:pPr>
      <w:bookmarkStart w:colFirst="0" w:colLast="0" w:name="_9keiy3hcrmp9" w:id="3"/>
      <w:bookmarkEnd w:id="3"/>
      <w:r w:rsidDel="00000000" w:rsidR="00000000" w:rsidRPr="00000000">
        <w:rPr>
          <w:rFonts w:ascii="Times New Roman" w:cs="Times New Roman" w:eastAsia="Times New Roman" w:hAnsi="Times New Roman"/>
          <w:sz w:val="40"/>
          <w:szCs w:val="40"/>
          <w:rtl w:val="0"/>
        </w:rPr>
        <w:t xml:space="preserve">Prediction of Vehicle Carbon Dioxide Emissions by Statistical Learning Models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color w:val="222222"/>
          <w:sz w:val="44"/>
          <w:szCs w:val="44"/>
        </w:rPr>
      </w:pPr>
      <w:r w:rsidDel="00000000" w:rsidR="00000000" w:rsidRPr="00000000">
        <w:rPr>
          <w:rFonts w:ascii="Times New Roman" w:cs="Times New Roman" w:eastAsia="Times New Roman" w:hAnsi="Times New Roman"/>
          <w:color w:val="222222"/>
          <w:sz w:val="44"/>
          <w:szCs w:val="44"/>
        </w:rPr>
        <w:drawing>
          <wp:inline distB="114300" distT="114300" distL="114300" distR="114300">
            <wp:extent cx="5731200" cy="28702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left"/>
        <w:rPr>
          <w:rFonts w:ascii="Times New Roman" w:cs="Times New Roman" w:eastAsia="Times New Roman" w:hAnsi="Times New Roman"/>
          <w:color w:val="222222"/>
          <w:sz w:val="44"/>
          <w:szCs w:val="44"/>
        </w:rPr>
      </w:pPr>
      <w:r w:rsidDel="00000000" w:rsidR="00000000" w:rsidRPr="00000000">
        <w:rPr>
          <w:rtl w:val="0"/>
        </w:rPr>
      </w:r>
    </w:p>
    <w:p w:rsidR="00000000" w:rsidDel="00000000" w:rsidP="00000000" w:rsidRDefault="00000000" w:rsidRPr="00000000" w14:paraId="00000009">
      <w:pPr>
        <w:widowControl w:val="0"/>
        <w:spacing w:line="240" w:lineRule="auto"/>
        <w:jc w:val="left"/>
        <w:rPr>
          <w:rFonts w:ascii="Times New Roman" w:cs="Times New Roman" w:eastAsia="Times New Roman" w:hAnsi="Times New Roman"/>
          <w:color w:val="222222"/>
          <w:sz w:val="44"/>
          <w:szCs w:val="44"/>
        </w:rPr>
      </w:pPr>
      <w:r w:rsidDel="00000000" w:rsidR="00000000" w:rsidRPr="00000000">
        <w:rPr>
          <w:rtl w:val="0"/>
        </w:rPr>
      </w:r>
    </w:p>
    <w:p w:rsidR="00000000" w:rsidDel="00000000" w:rsidP="00000000" w:rsidRDefault="00000000" w:rsidRPr="00000000" w14:paraId="0000000A">
      <w:pPr>
        <w:widowControl w:val="0"/>
        <w:spacing w:line="240" w:lineRule="auto"/>
        <w:jc w:val="left"/>
        <w:rPr>
          <w:rFonts w:ascii="Times New Roman" w:cs="Times New Roman" w:eastAsia="Times New Roman" w:hAnsi="Times New Roman"/>
          <w:color w:val="222222"/>
          <w:sz w:val="44"/>
          <w:szCs w:val="44"/>
        </w:rPr>
      </w:pPr>
      <w:r w:rsidDel="00000000" w:rsidR="00000000" w:rsidRPr="00000000">
        <w:rPr>
          <w:rtl w:val="0"/>
        </w:rPr>
      </w:r>
    </w:p>
    <w:p w:rsidR="00000000" w:rsidDel="00000000" w:rsidP="00000000" w:rsidRDefault="00000000" w:rsidRPr="00000000" w14:paraId="0000000B">
      <w:pPr>
        <w:widowControl w:val="0"/>
        <w:spacing w:line="240" w:lineRule="auto"/>
        <w:jc w:val="left"/>
        <w:rPr>
          <w:rFonts w:ascii="Times New Roman" w:cs="Times New Roman" w:eastAsia="Times New Roman" w:hAnsi="Times New Roman"/>
          <w:color w:val="222222"/>
          <w:sz w:val="44"/>
          <w:szCs w:val="44"/>
        </w:rPr>
      </w:pPr>
      <w:r w:rsidDel="00000000" w:rsidR="00000000" w:rsidRPr="00000000">
        <w:rPr>
          <w:rtl w:val="0"/>
        </w:rPr>
      </w:r>
    </w:p>
    <w:p w:rsidR="00000000" w:rsidDel="00000000" w:rsidP="00000000" w:rsidRDefault="00000000" w:rsidRPr="00000000" w14:paraId="0000000C">
      <w:pPr>
        <w:widowControl w:val="0"/>
        <w:spacing w:line="240" w:lineRule="auto"/>
        <w:jc w:val="right"/>
        <w:rPr>
          <w:rFonts w:ascii="Times New Roman" w:cs="Times New Roman" w:eastAsia="Times New Roman" w:hAnsi="Times New Roman"/>
          <w:color w:val="222222"/>
          <w:sz w:val="40"/>
          <w:szCs w:val="40"/>
        </w:rPr>
      </w:pPr>
      <w:r w:rsidDel="00000000" w:rsidR="00000000" w:rsidRPr="00000000">
        <w:rPr>
          <w:rFonts w:ascii="Times New Roman" w:cs="Times New Roman" w:eastAsia="Times New Roman" w:hAnsi="Times New Roman"/>
          <w:color w:val="222222"/>
          <w:sz w:val="40"/>
          <w:szCs w:val="40"/>
          <w:rtl w:val="0"/>
        </w:rPr>
        <w:t xml:space="preserve">Group 1</w:t>
      </w:r>
    </w:p>
    <w:p w:rsidR="00000000" w:rsidDel="00000000" w:rsidP="00000000" w:rsidRDefault="00000000" w:rsidRPr="00000000" w14:paraId="0000000D">
      <w:pPr>
        <w:widowControl w:val="0"/>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CHAN Hoi Ching</w:t>
      </w:r>
      <w:r w:rsidDel="00000000" w:rsidR="00000000" w:rsidRPr="00000000">
        <w:rPr>
          <w:rFonts w:ascii="Times New Roman" w:cs="Times New Roman" w:eastAsia="Times New Roman" w:hAnsi="Times New Roman"/>
          <w:sz w:val="40"/>
          <w:szCs w:val="40"/>
          <w:rtl w:val="0"/>
        </w:rPr>
        <w:t xml:space="preserve"> </w:t>
        <w:tab/>
        <w:t xml:space="preserve">1155125751</w:t>
      </w:r>
    </w:p>
    <w:p w:rsidR="00000000" w:rsidDel="00000000" w:rsidP="00000000" w:rsidRDefault="00000000" w:rsidRPr="00000000" w14:paraId="0000000E">
      <w:pPr>
        <w:widowControl w:val="0"/>
        <w:spacing w:line="240" w:lineRule="auto"/>
        <w:jc w:val="right"/>
        <w:rPr>
          <w:rFonts w:ascii="Times New Roman" w:cs="Times New Roman" w:eastAsia="Times New Roman" w:hAnsi="Times New Roman"/>
          <w:color w:val="222222"/>
          <w:sz w:val="40"/>
          <w:szCs w:val="40"/>
        </w:rPr>
      </w:pPr>
      <w:r w:rsidDel="00000000" w:rsidR="00000000" w:rsidRPr="00000000">
        <w:rPr>
          <w:rFonts w:ascii="Times New Roman" w:cs="Times New Roman" w:eastAsia="Times New Roman" w:hAnsi="Times New Roman"/>
          <w:color w:val="222222"/>
          <w:sz w:val="40"/>
          <w:szCs w:val="40"/>
          <w:rtl w:val="0"/>
        </w:rPr>
        <w:t xml:space="preserve">CHAN Kwan Yue </w:t>
        <w:tab/>
        <w:t xml:space="preserve">1155144322</w:t>
      </w:r>
    </w:p>
    <w:p w:rsidR="00000000" w:rsidDel="00000000" w:rsidP="00000000" w:rsidRDefault="00000000" w:rsidRPr="00000000" w14:paraId="0000000F">
      <w:pPr>
        <w:widowControl w:val="0"/>
        <w:spacing w:line="240" w:lineRule="auto"/>
        <w:jc w:val="right"/>
        <w:rPr>
          <w:rFonts w:ascii="Times New Roman" w:cs="Times New Roman" w:eastAsia="Times New Roman" w:hAnsi="Times New Roman"/>
          <w:color w:val="222222"/>
          <w:sz w:val="40"/>
          <w:szCs w:val="40"/>
        </w:rPr>
      </w:pPr>
      <w:r w:rsidDel="00000000" w:rsidR="00000000" w:rsidRPr="00000000">
        <w:rPr>
          <w:rFonts w:ascii="Times New Roman" w:cs="Times New Roman" w:eastAsia="Times New Roman" w:hAnsi="Times New Roman"/>
          <w:color w:val="222222"/>
          <w:sz w:val="40"/>
          <w:szCs w:val="40"/>
          <w:rtl w:val="0"/>
        </w:rPr>
        <w:t xml:space="preserve">LAM Kaysha       1155112312</w:t>
      </w:r>
    </w:p>
    <w:p w:rsidR="00000000" w:rsidDel="00000000" w:rsidP="00000000" w:rsidRDefault="00000000" w:rsidRPr="00000000" w14:paraId="00000010">
      <w:pPr>
        <w:widowControl w:val="0"/>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LAU Ka Keung       1155142681</w:t>
      </w:r>
    </w:p>
    <w:p w:rsidR="00000000" w:rsidDel="00000000" w:rsidP="00000000" w:rsidRDefault="00000000" w:rsidRPr="00000000" w14:paraId="00000011">
      <w:pPr>
        <w:widowControl w:val="0"/>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LEUNG Wan Hoi </w:t>
        <w:tab/>
        <w:t xml:space="preserve">1155142877</w:t>
      </w:r>
    </w:p>
    <w:p w:rsidR="00000000" w:rsidDel="00000000" w:rsidP="00000000" w:rsidRDefault="00000000" w:rsidRPr="00000000" w14:paraId="00000012">
      <w:pPr>
        <w:widowControl w:val="0"/>
        <w:spacing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TSANG Chor Ki  </w:t>
        <w:tab/>
        <w:t xml:space="preserve">1155143026</w:t>
      </w:r>
    </w:p>
    <w:p w:rsidR="00000000" w:rsidDel="00000000" w:rsidP="00000000" w:rsidRDefault="00000000" w:rsidRPr="00000000" w14:paraId="00000013">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1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hotter summers and warmer winters become a common phenomenon, environmental protection has gained increasing global importance. R</w:t>
      </w:r>
      <w:r w:rsidDel="00000000" w:rsidR="00000000" w:rsidRPr="00000000">
        <w:rPr>
          <w:rFonts w:ascii="Times New Roman" w:cs="Times New Roman" w:eastAsia="Times New Roman" w:hAnsi="Times New Roman"/>
          <w:rtl w:val="0"/>
        </w:rPr>
        <w:t xml:space="preserve">oad transportation-related contamination, particularly from vehicles, is a main contributor to environmental deterioration. To reduce its impacts, characteristics of light-duty vehicles are identified to build a CO2 emissions prediction model.</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audience is assumed to have interest in statistics and machine learning, an application of artificial intelligence enabling systems to learn from experience without explicit programming. No prior knowledge is required.</w:t>
      </w: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model-specific fuel consumption ratings and estimated carbon dioxide emissions for new light-duty vehicles for retail sale in Canada. Vehicle manufacturers use controlled experimental procedures to generate fuel consumption data. Afterwards, Environment and Climate Change Canada and Natural Resources Canada collates information to publish the Fuel Consumption Guide for audiences including car purchasers, manufacturers, and government bodies.</w:t>
      </w:r>
    </w:p>
    <w:p w:rsidR="00000000" w:rsidDel="00000000" w:rsidP="00000000" w:rsidRDefault="00000000" w:rsidRPr="00000000" w14:paraId="0000001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of this paper is to shortlist a machine learning algorithm with the greatest predictive power of carbon dioxide emissions based on critical features, such that consumers can compare and purchase vehicles with longer lifetime and lower maintenance costs, saving money in the long run.</w:t>
      </w:r>
    </w:p>
    <w:p w:rsidR="00000000" w:rsidDel="00000000" w:rsidP="00000000" w:rsidRDefault="00000000" w:rsidRPr="00000000" w14:paraId="00000019">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1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spans 7 years of compiled features and CO2 emissions of various light-duty vehicles. There are 7385 rows of observations and 12 columns in total. The columns include 11 features: Make, Model, Vehicle Class, Engine Size, Cylinders, Transmission, Fuel Type, Fuel Consumption City, Fuel Consumption Hwy, Fuel Consumption Comb (L/100 km), Fuel Consumption Comb (mpg), and 1 target variable: CO2 emissions. With a large sample size to features ratio, dimension reduction is not necessary. There are 5 non-numeric features which require further analysis to see if it can be manipulated or may otherwise be dropped. There are no null or missing values.</w:t>
      </w:r>
    </w:p>
    <w:p w:rsidR="00000000" w:rsidDel="00000000" w:rsidP="00000000" w:rsidRDefault="00000000" w:rsidRPr="00000000" w14:paraId="0000001C">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Visualization</w:t>
      </w:r>
    </w:p>
    <w:p w:rsidR="00000000" w:rsidDel="00000000" w:rsidP="00000000" w:rsidRDefault="00000000" w:rsidRPr="00000000" w14:paraId="0000001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the data exploration, distributions and interactions of discrete and continuous variables and a correlation matrix is plotted and shown in the Appendix. Some notable insights:</w:t>
      </w:r>
    </w:p>
    <w:p w:rsidR="00000000" w:rsidDel="00000000" w:rsidP="00000000" w:rsidRDefault="00000000" w:rsidRPr="00000000" w14:paraId="0000001F">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company is Ford</w:t>
      </w:r>
    </w:p>
    <w:p w:rsidR="00000000" w:rsidDel="00000000" w:rsidP="00000000" w:rsidRDefault="00000000" w:rsidRPr="00000000" w14:paraId="00000020">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Suv-small is the most common vehicle class</w:t>
      </w:r>
    </w:p>
    <w:p w:rsidR="00000000" w:rsidDel="00000000" w:rsidP="00000000" w:rsidRDefault="00000000" w:rsidRPr="00000000" w14:paraId="00000021">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of vehicles have 8-16L/100km fuel consumption</w:t>
      </w:r>
    </w:p>
    <w:p w:rsidR="00000000" w:rsidDel="00000000" w:rsidP="00000000" w:rsidRDefault="00000000" w:rsidRPr="00000000" w14:paraId="00000022">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features have a strong positive correlation with CO2 Emissions except for Fuel Consumption Combined which has a strong negative correlation with it</w:t>
      </w:r>
    </w:p>
    <w:p w:rsidR="00000000" w:rsidDel="00000000" w:rsidP="00000000" w:rsidRDefault="00000000" w:rsidRPr="00000000" w14:paraId="00000023">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engine size is 3L, while the mode is 2L. Usually, a larger engine is more powerful, accelerates faster, and has a higher speed, but it may burn more fuel and emit more CO2</w:t>
      </w:r>
    </w:p>
    <w:p w:rsidR="00000000" w:rsidDel="00000000" w:rsidP="00000000" w:rsidRDefault="00000000" w:rsidRPr="00000000" w14:paraId="00000024">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centralized on 3 to 8 cylinders. The more cylinders, the less the horsepower and carbon emissions</w:t>
      </w:r>
    </w:p>
    <w:p w:rsidR="00000000" w:rsidDel="00000000" w:rsidP="00000000" w:rsidRDefault="00000000" w:rsidRPr="00000000" w14:paraId="00000025">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(49%) and premium (43%) gasoline make up overwhelming majority of the data</w:t>
      </w:r>
    </w:p>
    <w:p w:rsidR="00000000" w:rsidDel="00000000" w:rsidP="00000000" w:rsidRDefault="00000000" w:rsidRPr="00000000" w14:paraId="00000026">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positive relationship between Fuel Consumption Comb and CO2 Emission, though the data is split by two different slopes due to fuel type. Vehicles using ethanol emit less CO2</w:t>
      </w:r>
    </w:p>
    <w:p w:rsidR="00000000" w:rsidDel="00000000" w:rsidP="00000000" w:rsidRDefault="00000000" w:rsidRPr="00000000" w14:paraId="00000027">
      <w:pPr>
        <w:spacing w:line="48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Preprocessing</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linear regression and XGBoost require numerical values, one hot encoding is used to replace 5 categorical variables with 93 dummy variables. The “Model” column is dropped since there are 2053 unique values out of 7385. It would not provide much information besides the values in “Make” and would result in an overly complex model. Additionally, normalization is applied to avoid distortion of differences in range and to model the data accurately for linear regression and KNN. The new dataframe is shown in the Appendix.</w:t>
      </w:r>
    </w:p>
    <w:p w:rsidR="00000000" w:rsidDel="00000000" w:rsidP="00000000" w:rsidRDefault="00000000" w:rsidRPr="00000000" w14:paraId="0000002A">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2C">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Models</w:t>
      </w:r>
    </w:p>
    <w:p w:rsidR="00000000" w:rsidDel="00000000" w:rsidP="00000000" w:rsidRDefault="00000000" w:rsidRPr="00000000" w14:paraId="0000002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Six algorithms are employed and compared to select one in terms of predictive power.</w:t>
      </w:r>
    </w:p>
    <w:p w:rsidR="00000000" w:rsidDel="00000000" w:rsidP="00000000" w:rsidRDefault="00000000" w:rsidRPr="00000000" w14:paraId="0000002E">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Lasso, Ridge Regression</w:t>
      </w:r>
    </w:p>
    <w:p w:rsidR="00000000" w:rsidDel="00000000" w:rsidP="00000000" w:rsidRDefault="00000000" w:rsidRPr="00000000" w14:paraId="0000002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simple and popular baseline model to evaluate the performances of more complex models. A linear relationship is assumed between input variables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and an output variable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However, the model is not penalized for choice of weights. In order to prevent overfitting, two modifications, namely lasso, which penalizes the model for the sum of absolute values of the weights, and ridge, which penalizes for the sum of squared value of the weights, are used.</w:t>
      </w:r>
    </w:p>
    <w:p w:rsidR="00000000" w:rsidDel="00000000" w:rsidP="00000000" w:rsidRDefault="00000000" w:rsidRPr="00000000" w14:paraId="00000030">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Neighbors Algorithm</w:t>
      </w:r>
    </w:p>
    <w:p w:rsidR="00000000" w:rsidDel="00000000" w:rsidP="00000000" w:rsidRDefault="00000000" w:rsidRPr="00000000" w14:paraId="0000003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is a supervised nonlinear learning algorithm. It provides an alternative if the true relationship is nonlinear and is also easy to interpret and scale to big data.The prediction of a new data point is the average of the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nearest data points’ response variable. “Nearest” is defined by Euclidean distance, which is the length of the difference of two vectors.</w:t>
      </w:r>
    </w:p>
    <w:p w:rsidR="00000000" w:rsidDel="00000000" w:rsidP="00000000" w:rsidRDefault="00000000" w:rsidRPr="00000000" w14:paraId="00000032">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Extreme Gradient Boosting</w:t>
      </w:r>
    </w:p>
    <w:p w:rsidR="00000000" w:rsidDel="00000000" w:rsidP="00000000" w:rsidRDefault="00000000" w:rsidRPr="00000000" w14:paraId="0000003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or Ex</w:t>
      </w:r>
      <w:r w:rsidDel="00000000" w:rsidR="00000000" w:rsidRPr="00000000">
        <w:rPr>
          <w:rFonts w:ascii="Times New Roman" w:cs="Times New Roman" w:eastAsia="Times New Roman" w:hAnsi="Times New Roman"/>
          <w:rtl w:val="0"/>
        </w:rPr>
        <w:t xml:space="preserve">treme Gradient Boosting, is an ensemble method that aims to aggregate weak learning models to form a stronger and more robust estimator (Zhang et al., 2018). </w:t>
      </w:r>
      <w:r w:rsidDel="00000000" w:rsidR="00000000" w:rsidRPr="00000000">
        <w:rPr>
          <w:rFonts w:ascii="Times New Roman" w:cs="Times New Roman" w:eastAsia="Times New Roman" w:hAnsi="Times New Roman"/>
          <w:rtl w:val="0"/>
        </w:rPr>
        <w:t xml:space="preserve">At each iteration, the residual of the previous estimator is used to learn and </w:t>
      </w:r>
      <w:r w:rsidDel="00000000" w:rsidR="00000000" w:rsidRPr="00000000">
        <w:rPr>
          <w:rFonts w:ascii="Times New Roman" w:cs="Times New Roman" w:eastAsia="Times New Roman" w:hAnsi="Times New Roman"/>
          <w:rtl w:val="0"/>
        </w:rPr>
        <w:t xml:space="preserve">optimize</w:t>
      </w:r>
      <w:r w:rsidDel="00000000" w:rsidR="00000000" w:rsidRPr="00000000">
        <w:rPr>
          <w:rFonts w:ascii="Times New Roman" w:cs="Times New Roman" w:eastAsia="Times New Roman" w:hAnsi="Times New Roman"/>
          <w:rtl w:val="0"/>
        </w:rPr>
        <w:t xml:space="preserve"> the loss function. A binary decision tree is selected as a basic learner, and </w:t>
      </w:r>
      <w:r w:rsidDel="00000000" w:rsidR="00000000" w:rsidRPr="00000000">
        <w:rPr>
          <w:rFonts w:ascii="Times New Roman" w:cs="Times New Roman" w:eastAsia="Times New Roman" w:hAnsi="Times New Roman"/>
          <w:rtl w:val="0"/>
        </w:rPr>
        <w:t xml:space="preserve">regularization</w:t>
      </w:r>
      <w:r w:rsidDel="00000000" w:rsidR="00000000" w:rsidRPr="00000000">
        <w:rPr>
          <w:rFonts w:ascii="Times New Roman" w:cs="Times New Roman" w:eastAsia="Times New Roman" w:hAnsi="Times New Roman"/>
          <w:rtl w:val="0"/>
        </w:rPr>
        <w:t xml:space="preserve"> added to avoid overfitting. Extreme refers to pushing computational limits to achieve gains in accuracy and speed.</w:t>
      </w:r>
    </w:p>
    <w:p w:rsidR="00000000" w:rsidDel="00000000" w:rsidP="00000000" w:rsidRDefault="00000000" w:rsidRPr="00000000" w14:paraId="00000034">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3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is powerful and accurate on a variety of problems, including features with nonlinear relationships. It is constructed of numerous individual decision trees that run independently  to represent a feature class prediction</w:t>
      </w:r>
      <w:r w:rsidDel="00000000" w:rsidR="00000000" w:rsidRPr="00000000">
        <w:rPr>
          <w:rFonts w:ascii="Times New Roman" w:cs="Times New Roman" w:eastAsia="Times New Roman" w:hAnsi="Times New Roman"/>
          <w:rtl w:val="0"/>
        </w:rPr>
        <w:t xml:space="preserve">. Each tree gives a predicted value and the forest averages all predictions as output as an ensemble.</w:t>
      </w:r>
    </w:p>
    <w:p w:rsidR="00000000" w:rsidDel="00000000" w:rsidP="00000000" w:rsidRDefault="00000000" w:rsidRPr="00000000" w14:paraId="00000036">
      <w:pPr>
        <w:shd w:fill="ffffff" w:val="clea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hyperparameters (except in linear regression) are currently following the default setting.</w:t>
      </w:r>
    </w:p>
    <w:p w:rsidR="00000000" w:rsidDel="00000000" w:rsidP="00000000" w:rsidRDefault="00000000" w:rsidRPr="00000000" w14:paraId="00000037">
      <w:pPr>
        <w:shd w:fill="ffffff" w:val="clea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hd w:fill="ffffff" w:val="clear"/>
        <w:spacing w:line="48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Performance Metrics</w:t>
      </w:r>
    </w:p>
    <w:p w:rsidR="00000000" w:rsidDel="00000000" w:rsidP="00000000" w:rsidRDefault="00000000" w:rsidRPr="00000000" w14:paraId="00000039">
      <w:pPr>
        <w:shd w:fill="ffffff" w:val="clea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metrics are used to consistently evaluate and compare model performance.</w:t>
      </w:r>
    </w:p>
    <w:p w:rsidR="00000000" w:rsidDel="00000000" w:rsidP="00000000" w:rsidRDefault="00000000" w:rsidRPr="00000000" w14:paraId="0000003A">
      <w:pPr>
        <w:shd w:fill="ffffff" w:val="clea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Root-mean-square error = </w:t>
      </w:r>
      <m:oMath>
        <m:rad>
          <m:radPr>
            <m:degHide m:val="1"/>
          </m:radPr>
          <m:e>
            <m:f>
              <m:fPr>
                <m:ctrlPr>
                  <w:rPr>
                    <w:rFonts w:ascii="Times New Roman" w:cs="Times New Roman" w:eastAsia="Times New Roman" w:hAnsi="Times New Roman"/>
                  </w:rPr>
                </m:ctrlPr>
              </m:fPr>
              <m:num>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num>
              <m:den>
                <m:r>
                  <w:rPr>
                    <w:rFonts w:ascii="Times New Roman" w:cs="Times New Roman" w:eastAsia="Times New Roman" w:hAnsi="Times New Roman"/>
                  </w:rPr>
                  <m:t xml:space="preserve">n</m:t>
                </m:r>
              </m:den>
            </m:f>
          </m:e>
        </m:rad>
      </m:oMath>
      <w:r w:rsidDel="00000000" w:rsidR="00000000" w:rsidRPr="00000000">
        <w:rPr>
          <w:rtl w:val="0"/>
        </w:rPr>
      </w:r>
    </w:p>
    <w:p w:rsidR="00000000" w:rsidDel="00000000" w:rsidP="00000000" w:rsidRDefault="00000000" w:rsidRPr="00000000" w14:paraId="0000003B">
      <w:pPr>
        <w:shd w:fill="ffffff" w:val="clea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percentage error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n</m:t>
            </m:r>
          </m:den>
        </m:f>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e>
                  <m:sub>
                    <m:r>
                      <w:rPr>
                        <w:rFonts w:ascii="Times New Roman" w:cs="Times New Roman" w:eastAsia="Times New Roman" w:hAnsi="Times New Roman"/>
                      </w:rPr>
                      <m:t xml:space="preserve">i</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den>
            </m:f>
          </m:e>
        </m:d>
      </m:oMath>
      <w:r w:rsidDel="00000000" w:rsidR="00000000" w:rsidRPr="00000000">
        <w:rPr>
          <w:rtl w:val="0"/>
        </w:rPr>
      </w:r>
    </w:p>
    <w:p w:rsidR="00000000" w:rsidDel="00000000" w:rsidP="00000000" w:rsidRDefault="00000000" w:rsidRPr="00000000" w14:paraId="0000003C">
      <w:pPr>
        <w:shd w:fill="ffffff" w:val="clea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 = </w:t>
      </w:r>
      <m:oMath>
        <m:f>
          <m:fPr>
            <m:ctrlPr>
              <w:rPr>
                <w:rFonts w:ascii="Times New Roman" w:cs="Times New Roman" w:eastAsia="Times New Roman" w:hAnsi="Times New Roman"/>
              </w:rPr>
            </m:ctrlPr>
          </m:fPr>
          <m:num>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d>
              <m:dPr>
                <m:begChr m:val="|"/>
                <m:endChr m:val="|"/>
                <m:ctrlPr>
                  <w:rPr>
                    <w:rFonts w:ascii="Times New Roman" w:cs="Times New Roman" w:eastAsia="Times New Roman" w:hAnsi="Times New Roman"/>
                  </w:rPr>
                </m:ctrlPr>
              </m:dPr>
              <m:e>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e>
            </m:d>
          </m:num>
          <m:den>
            <m:r>
              <w:rPr>
                <w:rFonts w:ascii="Times New Roman" w:cs="Times New Roman" w:eastAsia="Times New Roman" w:hAnsi="Times New Roman"/>
              </w:rPr>
              <m:t xml:space="preserve">n</m:t>
            </m:r>
          </m:den>
        </m:f>
      </m:oMath>
      <w:r w:rsidDel="00000000" w:rsidR="00000000" w:rsidRPr="00000000">
        <w:rPr>
          <w:rtl w:val="0"/>
        </w:rPr>
      </w:r>
    </w:p>
    <w:p w:rsidR="00000000" w:rsidDel="00000000" w:rsidP="00000000" w:rsidRDefault="00000000" w:rsidRPr="00000000" w14:paraId="0000003D">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10-fold cross validation is used to evaluate and compare model results. For each fold, 70% is used as a training set while the remaining 30% is used as a test set.</w:t>
      </w:r>
    </w:p>
    <w:p w:rsidR="00000000" w:rsidDel="00000000" w:rsidP="00000000" w:rsidRDefault="00000000" w:rsidRPr="00000000" w14:paraId="0000003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w:t>
      </w:r>
    </w:p>
    <w:p w:rsidR="00000000" w:rsidDel="00000000" w:rsidP="00000000" w:rsidRDefault="00000000" w:rsidRPr="00000000" w14:paraId="00000040">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Comparison of Algorithms</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830"/>
        <w:gridCol w:w="1140"/>
        <w:gridCol w:w="1095"/>
        <w:gridCol w:w="1230"/>
        <w:gridCol w:w="1140"/>
        <w:gridCol w:w="1365"/>
        <w:tblGridChange w:id="0">
          <w:tblGrid>
            <w:gridCol w:w="1215"/>
            <w:gridCol w:w="1830"/>
            <w:gridCol w:w="1140"/>
            <w:gridCol w:w="1095"/>
            <w:gridCol w:w="1230"/>
            <w:gridCol w:w="1140"/>
            <w:gridCol w:w="1365"/>
          </w:tblGrid>
        </w:tblGridChange>
      </w:tblGrid>
      <w:tr>
        <w:trPr>
          <w:cantSplit w:val="0"/>
          <w:trHeight w:val="573.09845677924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r>
      <w:tr>
        <w:trPr>
          <w:cantSplit w:val="0"/>
          <w:trHeight w:val="370.59804044858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5.302839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5.9344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3.9224</w:t>
            </w:r>
          </w:p>
        </w:tc>
      </w:tr>
      <w:tr>
        <w:trPr>
          <w:cantSplit w:val="0"/>
          <w:trHeight w:val="370.59804044858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3.011799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0.8339</w:t>
            </w:r>
          </w:p>
        </w:tc>
      </w:tr>
      <w:tr>
        <w:trPr>
          <w:cantSplit w:val="0"/>
          <w:trHeight w:val="370.59804044858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2.346942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1.221484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2.0493</w:t>
            </w:r>
          </w:p>
        </w:tc>
      </w:tr>
    </w:tbl>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Random forest has the best performance in terms of MAPE and MAE, whereas XGBoost performs best by RMSE. Hence, we will proceed with random forest as our prediction model.</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Parameter Tuning</w:t>
      </w: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are tuned to improve performance. GridSearchCV finds optimal parameters within a given range. Max_depth refers to maximum tree depth and balances local learning and overfitting. Max_features is the maximum number of features to consider at each split. N_estimators is the number of trees in the forest to average over. A higher number will improve but slow down performance. The best result is achieved by max_depth = 19, max_estimators = 9, n_estimators = 125.</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4"/>
        </w:numPr>
        <w:shd w:fill="ffffff" w:val="clear"/>
        <w:spacing w:before="0"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was the most accurate among six models. As shown in the Appendix, after parameter tuning of max_depth, max_estimators, and n_estimators, the performance has deteriorated. Hence, it is suggested to use the default hyperparameters or test other parameter sets for tuning.</w:t>
      </w:r>
    </w:p>
    <w:p w:rsidR="00000000" w:rsidDel="00000000" w:rsidP="00000000" w:rsidRDefault="00000000" w:rsidRPr="00000000" w14:paraId="00000064">
      <w:pPr>
        <w:shd w:fill="ffffff" w:val="clea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terms of feature importance, combined fuel consumption (55% city + 45% highway) is the most relevant variable to accurately predicting CO2 emissions, and to a lesser extent engine size. This is expected as the more fuel required to travel a given distance, the more gasses would be emitted.</w:t>
      </w:r>
    </w:p>
    <w:p w:rsidR="00000000" w:rsidDel="00000000" w:rsidP="00000000" w:rsidRDefault="00000000" w:rsidRPr="00000000" w14:paraId="00000065">
      <w:pPr>
        <w:shd w:fill="ffffff" w:val="clea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6">
      <w:pPr>
        <w:numPr>
          <w:ilvl w:val="0"/>
          <w:numId w:val="4"/>
        </w:numPr>
        <w:shd w:fill="ffffff" w:val="clear"/>
        <w:spacing w:before="0"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rtl w:val="0"/>
        </w:rPr>
        <w:t xml:space="preserve">An effective model was proposed to predict carbon dioxide emissions of light-duty vehicles in this paper. Exploratory data analysis was performed for a thorough understanding of the dataset, as well as data preprocessing to improve accuracy. Four algorithms were used for model development including linear regression, KNN, XGBoost, and random forest. After assessing the root-mean-square error, mean absolute percentage error, and mean absolute error of each algorithm, random forest conclusively produces the best results. Combined fuel consumption and engine size are critical prediction features.</w:t>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 and Suggestions</w:t>
      </w:r>
    </w:p>
    <w:p w:rsidR="00000000" w:rsidDel="00000000" w:rsidP="00000000" w:rsidRDefault="00000000" w:rsidRPr="00000000" w14:paraId="0000006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the three selected hyperparameters that were tuned for in random forest, others such as min_samples_split and min_samples_leaf can be explored to improve model performance.</w:t>
      </w:r>
    </w:p>
    <w:p w:rsidR="00000000" w:rsidDel="00000000" w:rsidP="00000000" w:rsidRDefault="00000000" w:rsidRPr="00000000" w14:paraId="0000006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model update is recommended as annual publications are provided by governments on the fuel consumption data. Revalidation ensures accurate forecasting and provides indication of whether model redevelopment would be appropriate.</w:t>
      </w:r>
    </w:p>
    <w:p w:rsidR="00000000" w:rsidDel="00000000" w:rsidP="00000000" w:rsidRDefault="00000000" w:rsidRPr="00000000" w14:paraId="0000006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engine size is correlated with higher CO2 emissions and are usually less efficient than small engines. One solution is to replace large engines with small turbocharged engines, generating more power and torque but limiting emissions.</w:t>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Fuel consumptions and carbon emissions data are presented annually by vehicle manufacturers along with government departments. CO2 is the most important greenhouse gas, and accurate predictions and future research allow for significant mitigation and long-term planning through environmental purchases, policy setting, and fuel-efficient technological innovation.</w:t>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numPr>
          <w:ilvl w:val="0"/>
          <w:numId w:val="4"/>
        </w:numPr>
        <w:shd w:fill="ffffff" w:val="clea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0">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Bakshi, C. (2022, April 14). </w:t>
      </w:r>
      <w:r w:rsidDel="00000000" w:rsidR="00000000" w:rsidRPr="00000000">
        <w:rPr>
          <w:rFonts w:ascii="Times New Roman" w:cs="Times New Roman" w:eastAsia="Times New Roman" w:hAnsi="Times New Roman"/>
          <w:i w:val="1"/>
          <w:rtl w:val="0"/>
        </w:rPr>
        <w:t xml:space="preserve">Random Forest regression</w:t>
      </w:r>
      <w:r w:rsidDel="00000000" w:rsidR="00000000" w:rsidRPr="00000000">
        <w:rPr>
          <w:rFonts w:ascii="Times New Roman" w:cs="Times New Roman" w:eastAsia="Times New Roman" w:hAnsi="Times New Roman"/>
          <w:rtl w:val="0"/>
        </w:rPr>
        <w:t xml:space="preserve">. Medium. Retrieved October 12, 2022, from https://levelup.gitconnected.com/random-forest-regression-209c0f354c84#:~:text=Random%20Forest%20Regression%20is%20a%20supervised%20learning%20algorithm%20that%20uses,prediction%20than%20a%20single%20model.</w:t>
      </w:r>
    </w:p>
    <w:p w:rsidR="00000000" w:rsidDel="00000000" w:rsidP="00000000" w:rsidRDefault="00000000" w:rsidRPr="00000000" w14:paraId="00000071">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N. R. (2022, August 22). </w:t>
      </w:r>
      <w:r w:rsidDel="00000000" w:rsidR="00000000" w:rsidRPr="00000000">
        <w:rPr>
          <w:rFonts w:ascii="Times New Roman" w:cs="Times New Roman" w:eastAsia="Times New Roman" w:hAnsi="Times New Roman"/>
          <w:i w:val="1"/>
          <w:rtl w:val="0"/>
        </w:rPr>
        <w:t xml:space="preserve">Government of Canada</w:t>
      </w:r>
      <w:r w:rsidDel="00000000" w:rsidR="00000000" w:rsidRPr="00000000">
        <w:rPr>
          <w:rFonts w:ascii="Times New Roman" w:cs="Times New Roman" w:eastAsia="Times New Roman" w:hAnsi="Times New Roman"/>
          <w:rtl w:val="0"/>
        </w:rPr>
        <w:t xml:space="preserve">. Natural Resources Canada. Retrieved October 12, 2022, from https://www.nrcan.gc.ca/energy-efficiency/transportation-alternative-fuels/fuel-consumption-guide/21002</w:t>
      </w:r>
    </w:p>
    <w:p w:rsidR="00000000" w:rsidDel="00000000" w:rsidP="00000000" w:rsidRDefault="00000000" w:rsidRPr="00000000" w14:paraId="00000072">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Car ownership guides | webuyanycar.com</w:t>
      </w:r>
      <w:r w:rsidDel="00000000" w:rsidR="00000000" w:rsidRPr="00000000">
        <w:rPr>
          <w:rFonts w:ascii="Times New Roman" w:cs="Times New Roman" w:eastAsia="Times New Roman" w:hAnsi="Times New Roman"/>
          <w:rtl w:val="0"/>
        </w:rPr>
        <w:t xml:space="preserve">. (n.d.). Retrieved October 11, 2022, from https://www.webuyanycar.com/guides/car-ownership/</w:t>
      </w:r>
    </w:p>
    <w:p w:rsidR="00000000" w:rsidDel="00000000" w:rsidP="00000000" w:rsidRDefault="00000000" w:rsidRPr="00000000" w14:paraId="00000073">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Deepanshi. (2021, May 25). </w:t>
      </w:r>
      <w:r w:rsidDel="00000000" w:rsidR="00000000" w:rsidRPr="00000000">
        <w:rPr>
          <w:rFonts w:ascii="Times New Roman" w:cs="Times New Roman" w:eastAsia="Times New Roman" w:hAnsi="Times New Roman"/>
          <w:i w:val="1"/>
          <w:rtl w:val="0"/>
        </w:rPr>
        <w:t xml:space="preserve">Linear regression: Introduction to linear regression for data science</w:t>
      </w:r>
      <w:r w:rsidDel="00000000" w:rsidR="00000000" w:rsidRPr="00000000">
        <w:rPr>
          <w:rFonts w:ascii="Times New Roman" w:cs="Times New Roman" w:eastAsia="Times New Roman" w:hAnsi="Times New Roman"/>
          <w:rtl w:val="0"/>
        </w:rPr>
        <w:t xml:space="preserve">. Analytics Vidhya. Retrieved October 12, 2022, from https://www.analyticsvidhya.com/blog/2021/05/all-you-need-to-know-about-your-first-machine-learning-model-linear-regression/</w:t>
      </w:r>
    </w:p>
    <w:p w:rsidR="00000000" w:rsidDel="00000000" w:rsidP="00000000" w:rsidRDefault="00000000" w:rsidRPr="00000000" w14:paraId="00000074">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Garba, M. D., Usman, M., Khan, S., Shehzad, F., Galadima, A., Ehsan, M. F., Ghanem, A. S., &amp; Humayun, M. (2020, November 14). </w:t>
      </w:r>
      <w:r w:rsidDel="00000000" w:rsidR="00000000" w:rsidRPr="00000000">
        <w:rPr>
          <w:rFonts w:ascii="Times New Roman" w:cs="Times New Roman" w:eastAsia="Times New Roman" w:hAnsi="Times New Roman"/>
          <w:i w:val="1"/>
          <w:rtl w:val="0"/>
        </w:rPr>
        <w:t xml:space="preserve">CO2 towards fuels: A review of catalytic conversion of carbon dioxide to hydrocarbons</w:t>
      </w:r>
      <w:r w:rsidDel="00000000" w:rsidR="00000000" w:rsidRPr="00000000">
        <w:rPr>
          <w:rFonts w:ascii="Times New Roman" w:cs="Times New Roman" w:eastAsia="Times New Roman" w:hAnsi="Times New Roman"/>
          <w:rtl w:val="0"/>
        </w:rPr>
        <w:t xml:space="preserve">. Journal of Environmental Chemical Engineering. Retrieved October 12, 2022, from </w:t>
      </w:r>
      <w:r w:rsidDel="00000000" w:rsidR="00000000" w:rsidRPr="00000000">
        <w:rPr>
          <w:rFonts w:ascii="Times New Roman" w:cs="Times New Roman" w:eastAsia="Times New Roman" w:hAnsi="Times New Roman"/>
          <w:rtl w:val="0"/>
        </w:rPr>
        <w:t xml:space="preserve">https://www.sciencedirect.com/science/article/abs/pii/S2213343720311052</w:t>
      </w:r>
      <w:r w:rsidDel="00000000" w:rsidR="00000000" w:rsidRPr="00000000">
        <w:rPr>
          <w:rtl w:val="0"/>
        </w:rPr>
      </w:r>
    </w:p>
    <w:p w:rsidR="00000000" w:rsidDel="00000000" w:rsidP="00000000" w:rsidRDefault="00000000" w:rsidRPr="00000000" w14:paraId="00000075">
      <w:pPr>
        <w:spacing w:after="240" w:before="240" w:line="480" w:lineRule="auto"/>
        <w:ind w:left="560" w:hanging="5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(n.d.). Retrieved October 18, 2022, from https://towardsdatascience.com/linear-regression-models-4a3d14b8d368 </w:t>
      </w:r>
    </w:p>
    <w:p w:rsidR="00000000" w:rsidDel="00000000" w:rsidP="00000000" w:rsidRDefault="00000000" w:rsidRPr="00000000" w14:paraId="00000076">
      <w:pPr>
        <w:spacing w:after="240" w:before="240" w:line="480" w:lineRule="auto"/>
        <w:ind w:left="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Python. (2022, September 1). </w:t>
      </w:r>
      <w:r w:rsidDel="00000000" w:rsidR="00000000" w:rsidRPr="00000000">
        <w:rPr>
          <w:rFonts w:ascii="Times New Roman" w:cs="Times New Roman" w:eastAsia="Times New Roman" w:hAnsi="Times New Roman"/>
          <w:i w:val="1"/>
          <w:rtl w:val="0"/>
        </w:rPr>
        <w:t xml:space="preserve">The K-nearest neighbors (knn) algorithm in Python</w:t>
      </w:r>
      <w:r w:rsidDel="00000000" w:rsidR="00000000" w:rsidRPr="00000000">
        <w:rPr>
          <w:rFonts w:ascii="Times New Roman" w:cs="Times New Roman" w:eastAsia="Times New Roman" w:hAnsi="Times New Roman"/>
          <w:rtl w:val="0"/>
        </w:rPr>
        <w:t xml:space="preserve">. Real Python. Retrieved October 12, 2022, from https://realpython.com/knn-python/#a-step-by-step-knn-from-scratch-in-python</w:t>
      </w:r>
    </w:p>
    <w:p w:rsidR="00000000" w:rsidDel="00000000" w:rsidP="00000000" w:rsidRDefault="00000000" w:rsidRPr="00000000" w14:paraId="00000078">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RMSE: Root mean square error</w:t>
      </w:r>
      <w:r w:rsidDel="00000000" w:rsidR="00000000" w:rsidRPr="00000000">
        <w:rPr>
          <w:rFonts w:ascii="Times New Roman" w:cs="Times New Roman" w:eastAsia="Times New Roman" w:hAnsi="Times New Roman"/>
          <w:rtl w:val="0"/>
        </w:rPr>
        <w:t xml:space="preserve">. Statistics How To. (2021, May 31). Retrieved October 12, 2022, from https://www.statisticshowto.com/probability-and-statistics/regression-analysis/rmse-root-mean-square-error/</w:t>
      </w:r>
    </w:p>
    <w:p w:rsidR="00000000" w:rsidDel="00000000" w:rsidP="00000000" w:rsidRDefault="00000000" w:rsidRPr="00000000" w14:paraId="00000079">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Selig, J. (2022, July 4). </w:t>
      </w:r>
      <w:r w:rsidDel="00000000" w:rsidR="00000000" w:rsidRPr="00000000">
        <w:rPr>
          <w:rFonts w:ascii="Times New Roman" w:cs="Times New Roman" w:eastAsia="Times New Roman" w:hAnsi="Times New Roman"/>
          <w:i w:val="1"/>
          <w:rtl w:val="0"/>
        </w:rPr>
        <w:t xml:space="preserve">What is machine learning? A definition.</w:t>
      </w:r>
      <w:r w:rsidDel="00000000" w:rsidR="00000000" w:rsidRPr="00000000">
        <w:rPr>
          <w:rFonts w:ascii="Times New Roman" w:cs="Times New Roman" w:eastAsia="Times New Roman" w:hAnsi="Times New Roman"/>
          <w:rtl w:val="0"/>
        </w:rPr>
        <w:t xml:space="preserve"> Expert.ai. Retrieved October 12, 2022, from https://www.expert.ai/blog/machine-learning-definition/</w:t>
      </w:r>
    </w:p>
    <w:p w:rsidR="00000000" w:rsidDel="00000000" w:rsidP="00000000" w:rsidRDefault="00000000" w:rsidRPr="00000000" w14:paraId="0000007A">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Sklearn.ensemble.randomforestregressor</w:t>
      </w:r>
      <w:r w:rsidDel="00000000" w:rsidR="00000000" w:rsidRPr="00000000">
        <w:rPr>
          <w:rFonts w:ascii="Times New Roman" w:cs="Times New Roman" w:eastAsia="Times New Roman" w:hAnsi="Times New Roman"/>
          <w:rtl w:val="0"/>
        </w:rPr>
        <w:t xml:space="preserve">. scikit. (n.d.). Retrieved October 12, 2022, from https://scikit-learn.org/stable/modules/generated/sklearn.ensemble.RandomForestRegressor.html</w:t>
      </w:r>
    </w:p>
    <w:p w:rsidR="00000000" w:rsidDel="00000000" w:rsidP="00000000" w:rsidRDefault="00000000" w:rsidRPr="00000000" w14:paraId="0000007B">
      <w:pPr>
        <w:spacing w:after="240" w:before="240" w:line="480" w:lineRule="auto"/>
        <w:ind w:left="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Stephanie. (2022, May 27). </w:t>
      </w:r>
      <w:r w:rsidDel="00000000" w:rsidR="00000000" w:rsidRPr="00000000">
        <w:rPr>
          <w:rFonts w:ascii="Times New Roman" w:cs="Times New Roman" w:eastAsia="Times New Roman" w:hAnsi="Times New Roman"/>
          <w:i w:val="1"/>
          <w:rtl w:val="0"/>
        </w:rPr>
        <w:t xml:space="preserve">Mean absolute percentage error (MAPE)</w:t>
      </w:r>
      <w:r w:rsidDel="00000000" w:rsidR="00000000" w:rsidRPr="00000000">
        <w:rPr>
          <w:rFonts w:ascii="Times New Roman" w:cs="Times New Roman" w:eastAsia="Times New Roman" w:hAnsi="Times New Roman"/>
          <w:rtl w:val="0"/>
        </w:rPr>
        <w:t xml:space="preserve">. Statistics How To. Retrieved October 12, 2022, from https://www.statisticshowto.com/mean-absolute-percentage-error-mape/</w:t>
      </w:r>
    </w:p>
    <w:p w:rsidR="00000000" w:rsidDel="00000000" w:rsidP="00000000" w:rsidRDefault="00000000" w:rsidRPr="00000000" w14:paraId="0000007C">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D., Qian, L., Mao, B., Huang, C., Huang, B., &amp; Si, Y. (2018). A data-driven design for fault detection of wind turbines using random forests and xgboost. </w:t>
      </w:r>
      <w:r w:rsidDel="00000000" w:rsidR="00000000" w:rsidRPr="00000000">
        <w:rPr>
          <w:rFonts w:ascii="Times New Roman" w:cs="Times New Roman" w:eastAsia="Times New Roman" w:hAnsi="Times New Roman"/>
          <w:i w:val="1"/>
          <w:rtl w:val="0"/>
        </w:rPr>
        <w:t xml:space="preserve">IEEE Access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6</w:t>
      </w:r>
      <w:r w:rsidDel="00000000" w:rsidR="00000000" w:rsidRPr="00000000">
        <w:rPr>
          <w:rFonts w:ascii="Times New Roman" w:cs="Times New Roman" w:eastAsia="Times New Roman" w:hAnsi="Times New Roman"/>
          <w:rtl w:val="0"/>
        </w:rPr>
        <w:t xml:space="preserve">, 21020–21031. </w:t>
      </w:r>
      <w:r w:rsidDel="00000000" w:rsidR="00000000" w:rsidRPr="00000000">
        <w:rPr>
          <w:rFonts w:ascii="Times New Roman" w:cs="Times New Roman" w:eastAsia="Times New Roman" w:hAnsi="Times New Roman"/>
          <w:rtl w:val="0"/>
        </w:rPr>
        <w:t xml:space="preserve">https://doi.org/10.1109/access.2018.2818678</w:t>
      </w:r>
    </w:p>
    <w:p w:rsidR="00000000" w:rsidDel="00000000" w:rsidP="00000000" w:rsidRDefault="00000000" w:rsidRPr="00000000" w14:paraId="0000007D">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hd w:fill="ffffff" w:val="clear"/>
        <w:spacing w:after="240" w:line="480" w:lineRule="auto"/>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4"/>
        </w:numPr>
        <w:shd w:fill="ffffff" w:val="clea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83">
      <w:pPr>
        <w:shd w:fill="ffffff" w:val="clea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Visualization</w:t>
      </w:r>
    </w:p>
    <w:tbl>
      <w:tblPr>
        <w:tblStyle w:val="Table2"/>
        <w:tblW w:w="1134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5745"/>
        <w:tblGridChange w:id="0">
          <w:tblGrid>
            <w:gridCol w:w="5595"/>
            <w:gridCol w:w="5745"/>
          </w:tblGrid>
        </w:tblGridChange>
      </w:tblGrid>
      <w:tr>
        <w:trPr>
          <w:cantSplit w:val="0"/>
          <w:trHeight w:val="419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47626</wp:posOffset>
                  </wp:positionV>
                  <wp:extent cx="4043363" cy="2423955"/>
                  <wp:effectExtent b="0" l="0" r="0" t="0"/>
                  <wp:wrapSquare wrapText="left" distB="114300" distT="114300" distL="114300" distR="11430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043363" cy="2423955"/>
                          </a:xfrm>
                          <a:prstGeom prst="rect"/>
                          <a:ln/>
                        </pic:spPr>
                      </pic:pic>
                    </a:graphicData>
                  </a:graphic>
                </wp:anchor>
              </w:drawing>
            </w:r>
          </w:p>
        </w:tc>
      </w:tr>
      <w:tr>
        <w:trPr>
          <w:cantSplit w:val="0"/>
          <w:trHeight w:val="3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38904" cy="1643063"/>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38904" cy="16430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838" cy="1819275"/>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652838" cy="1819275"/>
                          </a:xfrm>
                          <a:prstGeom prst="rect"/>
                          <a:ln/>
                        </pic:spPr>
                      </pic:pic>
                    </a:graphicData>
                  </a:graphic>
                </wp:inline>
              </w:drawing>
            </w:r>
            <w:r w:rsidDel="00000000" w:rsidR="00000000" w:rsidRPr="00000000">
              <w:rPr>
                <w:rtl w:val="0"/>
              </w:rPr>
            </w:r>
          </w:p>
        </w:tc>
      </w:tr>
      <w:tr>
        <w:trPr>
          <w:cantSplit w:val="0"/>
          <w:trHeight w:val="3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hd w:fill="ffffff" w:val="clea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4414" cy="1962522"/>
                  <wp:effectExtent b="0" l="0" r="0" t="0"/>
                  <wp:docPr id="1" name="image7.png"/>
                  <a:graphic>
                    <a:graphicData uri="http://schemas.openxmlformats.org/drawingml/2006/picture">
                      <pic:pic>
                        <pic:nvPicPr>
                          <pic:cNvPr id="0" name="image7.png"/>
                          <pic:cNvPicPr preferRelativeResize="0"/>
                        </pic:nvPicPr>
                        <pic:blipFill>
                          <a:blip r:embed="rId10"/>
                          <a:srcRect b="0" l="0" r="6306" t="0"/>
                          <a:stretch>
                            <a:fillRect/>
                          </a:stretch>
                        </pic:blipFill>
                        <pic:spPr>
                          <a:xfrm>
                            <a:off x="0" y="0"/>
                            <a:ext cx="3434414" cy="196252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2257425"/>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95688" cy="2257425"/>
                          </a:xfrm>
                          <a:prstGeom prst="rect"/>
                          <a:ln/>
                        </pic:spPr>
                      </pic:pic>
                    </a:graphicData>
                  </a:graphic>
                </wp:inline>
              </w:drawing>
            </w:r>
            <w:r w:rsidDel="00000000" w:rsidR="00000000" w:rsidRPr="00000000">
              <w:rPr>
                <w:rtl w:val="0"/>
              </w:rPr>
            </w:r>
          </w:p>
        </w:tc>
      </w:tr>
      <w:tr>
        <w:trPr>
          <w:cantSplit w:val="0"/>
          <w:trHeight w:val="39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4763" cy="1537643"/>
                  <wp:effectExtent b="0" l="0" r="0" t="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814763" cy="153764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19588" cy="1742991"/>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19588" cy="1742991"/>
                          </a:xfrm>
                          <a:prstGeom prst="rect"/>
                          <a:ln/>
                        </pic:spPr>
                      </pic:pic>
                    </a:graphicData>
                  </a:graphic>
                </wp:inline>
              </w:drawing>
            </w:r>
            <w:r w:rsidDel="00000000" w:rsidR="00000000" w:rsidRPr="00000000">
              <w:rPr>
                <w:rtl w:val="0"/>
              </w:rPr>
            </w:r>
          </w:p>
        </w:tc>
      </w:tr>
      <w:tr>
        <w:trPr>
          <w:cantSplit w:val="0"/>
          <w:trHeight w:val="3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228600" distT="228600" distL="228600" distR="228600">
                  <wp:extent cx="3618360" cy="1833563"/>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18360" cy="1833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9802" cy="1919288"/>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99802" cy="1919288"/>
                          </a:xfrm>
                          <a:prstGeom prst="rect"/>
                          <a:ln/>
                        </pic:spPr>
                      </pic:pic>
                    </a:graphicData>
                  </a:graphic>
                </wp:inline>
              </w:drawing>
            </w:r>
            <w:r w:rsidDel="00000000" w:rsidR="00000000" w:rsidRPr="00000000">
              <w:rPr>
                <w:rtl w:val="0"/>
              </w:rPr>
            </w:r>
          </w:p>
        </w:tc>
      </w:tr>
      <w:tr>
        <w:trPr>
          <w:cantSplit w:val="0"/>
          <w:trHeight w:val="4485.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7918" cy="258603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17918" cy="2586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9001" cy="2366963"/>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39001" cy="2366963"/>
                          </a:xfrm>
                          <a:prstGeom prst="rect"/>
                          <a:ln/>
                        </pic:spPr>
                      </pic:pic>
                    </a:graphicData>
                  </a:graphic>
                </wp:inline>
              </w:drawing>
            </w:r>
            <w:r w:rsidDel="00000000" w:rsidR="00000000" w:rsidRPr="00000000">
              <w:rPr>
                <w:rtl w:val="0"/>
              </w:rPr>
            </w:r>
          </w:p>
        </w:tc>
      </w:tr>
      <w:tr>
        <w:trPr>
          <w:cantSplit w:val="0"/>
          <w:trHeight w:val="3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0461" cy="2023703"/>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50461" cy="20237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5628" cy="2185628"/>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185628" cy="2185628"/>
                          </a:xfrm>
                          <a:prstGeom prst="rect"/>
                          <a:ln/>
                        </pic:spPr>
                      </pic:pic>
                    </a:graphicData>
                  </a:graphic>
                </wp:inline>
              </w:drawing>
            </w:r>
            <w:r w:rsidDel="00000000" w:rsidR="00000000" w:rsidRPr="00000000">
              <w:rPr>
                <w:rtl w:val="0"/>
              </w:rPr>
            </w:r>
          </w:p>
        </w:tc>
      </w:tr>
      <w:tr>
        <w:trPr>
          <w:cantSplit w:val="0"/>
          <w:trHeight w:val="480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48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3467100" cy="2159000"/>
                  <wp:effectExtent b="0" l="0" r="0" t="0"/>
                  <wp:wrapTopAndBottom distB="114300" distT="114300"/>
                  <wp:docPr id="1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467100" cy="21590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9621" cy="2957513"/>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29621" cy="29575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shd w:fill="ffffff" w:val="clear"/>
        <w:spacing w:line="480" w:lineRule="auto"/>
        <w:jc w:val="both"/>
        <w:rPr>
          <w:rFonts w:ascii="Times New Roman" w:cs="Times New Roman" w:eastAsia="Times New Roman" w:hAnsi="Times New Roman"/>
          <w:i w:val="1"/>
        </w:rPr>
      </w:pPr>
      <w:r w:rsidDel="00000000" w:rsidR="00000000" w:rsidRPr="00000000">
        <w:rPr>
          <w:rtl w:val="0"/>
        </w:rPr>
      </w:r>
    </w:p>
    <w:tbl>
      <w:tblPr>
        <w:tblStyle w:val="Table3"/>
        <w:tblW w:w="1015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4980"/>
        <w:tblGridChange w:id="0">
          <w:tblGrid>
            <w:gridCol w:w="5175"/>
            <w:gridCol w:w="4980"/>
          </w:tblGrid>
        </w:tblGridChange>
      </w:tblGrid>
      <w:tr>
        <w:trPr>
          <w:cantSplit w:val="0"/>
          <w:trHeight w:val="300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185988" cy="1869464"/>
                  <wp:effectExtent b="0" l="0" r="0" t="0"/>
                  <wp:docPr id="2" name="image19.png"/>
                  <a:graphic>
                    <a:graphicData uri="http://schemas.openxmlformats.org/drawingml/2006/picture">
                      <pic:pic>
                        <pic:nvPicPr>
                          <pic:cNvPr id="0" name="image19.png"/>
                          <pic:cNvPicPr preferRelativeResize="0"/>
                        </pic:nvPicPr>
                        <pic:blipFill>
                          <a:blip r:embed="rId22"/>
                          <a:srcRect b="0" l="29401" r="6312" t="0"/>
                          <a:stretch>
                            <a:fillRect/>
                          </a:stretch>
                        </pic:blipFill>
                        <pic:spPr>
                          <a:xfrm>
                            <a:off x="0" y="0"/>
                            <a:ext cx="2185988" cy="18694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805113" cy="1481248"/>
                  <wp:effectExtent b="0" l="0" r="0" t="0"/>
                  <wp:docPr id="3" name="image15.png"/>
                  <a:graphic>
                    <a:graphicData uri="http://schemas.openxmlformats.org/drawingml/2006/picture">
                      <pic:pic>
                        <pic:nvPicPr>
                          <pic:cNvPr id="0" name="image15.png"/>
                          <pic:cNvPicPr preferRelativeResize="0"/>
                        </pic:nvPicPr>
                        <pic:blipFill>
                          <a:blip r:embed="rId23"/>
                          <a:srcRect b="5135" l="0" r="7075" t="5615"/>
                          <a:stretch>
                            <a:fillRect/>
                          </a:stretch>
                        </pic:blipFill>
                        <pic:spPr>
                          <a:xfrm>
                            <a:off x="0" y="0"/>
                            <a:ext cx="2805113" cy="1481248"/>
                          </a:xfrm>
                          <a:prstGeom prst="rect"/>
                          <a:ln/>
                        </pic:spPr>
                      </pic:pic>
                    </a:graphicData>
                  </a:graphic>
                </wp:inline>
              </w:drawing>
            </w:r>
            <w:r w:rsidDel="00000000" w:rsidR="00000000" w:rsidRPr="00000000">
              <w:rPr>
                <w:rtl w:val="0"/>
              </w:rPr>
            </w:r>
          </w:p>
        </w:tc>
      </w:tr>
      <w:tr>
        <w:trPr>
          <w:cantSplit w:val="0"/>
          <w:trHeight w:val="309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481263" cy="2030124"/>
                  <wp:effectExtent b="0" l="0" r="0" t="0"/>
                  <wp:docPr id="14" name="image6.png"/>
                  <a:graphic>
                    <a:graphicData uri="http://schemas.openxmlformats.org/drawingml/2006/picture">
                      <pic:pic>
                        <pic:nvPicPr>
                          <pic:cNvPr id="0" name="image6.png"/>
                          <pic:cNvPicPr preferRelativeResize="0"/>
                        </pic:nvPicPr>
                        <pic:blipFill>
                          <a:blip r:embed="rId24"/>
                          <a:srcRect b="3334" l="28571" r="6976" t="0"/>
                          <a:stretch>
                            <a:fillRect/>
                          </a:stretch>
                        </pic:blipFill>
                        <pic:spPr>
                          <a:xfrm>
                            <a:off x="0" y="0"/>
                            <a:ext cx="2481263" cy="20301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919413" cy="1551955"/>
                  <wp:effectExtent b="0" l="0" r="0" t="0"/>
                  <wp:docPr id="9" name="image1.png"/>
                  <a:graphic>
                    <a:graphicData uri="http://schemas.openxmlformats.org/drawingml/2006/picture">
                      <pic:pic>
                        <pic:nvPicPr>
                          <pic:cNvPr id="0" name="image1.png"/>
                          <pic:cNvPicPr preferRelativeResize="0"/>
                        </pic:nvPicPr>
                        <pic:blipFill>
                          <a:blip r:embed="rId25"/>
                          <a:srcRect b="5438" l="0" r="6976" t="4229"/>
                          <a:stretch>
                            <a:fillRect/>
                          </a:stretch>
                        </pic:blipFill>
                        <pic:spPr>
                          <a:xfrm>
                            <a:off x="0" y="0"/>
                            <a:ext cx="2919413" cy="15519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Preprocessing</w:t>
      </w:r>
    </w:p>
    <w:p w:rsidR="00000000" w:rsidDel="00000000" w:rsidP="00000000" w:rsidRDefault="00000000" w:rsidRPr="00000000" w14:paraId="0000009C">
      <w:pPr>
        <w:shd w:fill="ffffff" w:val="clea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Dataset</w:t>
      </w:r>
    </w:p>
    <w:p w:rsidR="00000000" w:rsidDel="00000000" w:rsidP="00000000" w:rsidRDefault="00000000" w:rsidRPr="00000000" w14:paraId="0000009D">
      <w:pPr>
        <w:shd w:fill="ffffff" w:val="clea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hd w:fill="ffffff" w:val="clea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 Performance</w:t>
      </w:r>
    </w:p>
    <w:p w:rsidR="00000000" w:rsidDel="00000000" w:rsidP="00000000" w:rsidRDefault="00000000" w:rsidRPr="00000000" w14:paraId="000000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0.993477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0.9935</w:t>
            </w:r>
          </w:p>
        </w:tc>
      </w:tr>
    </w:tbl>
    <w:p w:rsidR="00000000" w:rsidDel="00000000" w:rsidP="00000000" w:rsidRDefault="00000000" w:rsidRPr="00000000" w14:paraId="000000A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Default, 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Tuned, 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Tuned with bagging(100</w:t>
            </w:r>
            <w:r w:rsidDel="00000000" w:rsidR="00000000" w:rsidRPr="00000000">
              <w:rPr>
                <w:color w:val="222222"/>
                <w:sz w:val="14"/>
                <w:szCs w:val="14"/>
                <w:highlight w:val="white"/>
                <w:rtl w:val="0"/>
              </w:rPr>
              <w:t xml:space="preserve"> </w:t>
            </w:r>
            <w:r w:rsidDel="00000000" w:rsidR="00000000" w:rsidRPr="00000000">
              <w:rPr>
                <w:rFonts w:ascii="Times New Roman" w:cs="Times New Roman" w:eastAsia="Times New Roman" w:hAnsi="Times New Roman"/>
                <w:color w:val="222222"/>
                <w:sz w:val="14"/>
                <w:szCs w:val="14"/>
                <w:highlight w:val="white"/>
                <w:rtl w:val="0"/>
              </w:rPr>
              <w:t xml:space="preserve">estimators)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11.421831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7.598125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4.815121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7.228700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1.476974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1.199203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2.992004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3.169585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2.904765</w:t>
            </w:r>
          </w:p>
        </w:tc>
      </w:tr>
    </w:tbl>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p w:rsidR="00000000" w:rsidDel="00000000" w:rsidP="00000000" w:rsidRDefault="00000000" w:rsidRPr="00000000" w14:paraId="000000C1">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700713" cy="2273343"/>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00713" cy="227334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C4">
      <w:pPr>
        <w:shd w:fill="ffffff" w:val="clea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342690" cy="1966807"/>
            <wp:effectExtent b="0" l="0" r="0" t="0"/>
            <wp:docPr id="1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42690" cy="1966807"/>
                    </a:xfrm>
                    <a:prstGeom prst="rect"/>
                    <a:ln/>
                  </pic:spPr>
                </pic:pic>
              </a:graphicData>
            </a:graphic>
          </wp:inline>
        </w:drawing>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1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MAE</w:t>
            </w:r>
          </w:p>
        </w:tc>
      </w:tr>
      <w:tr>
        <w:trPr>
          <w:cantSplit w:val="0"/>
          <w:trHeight w:val="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9.4356</w:t>
            </w:r>
          </w:p>
        </w:tc>
      </w:tr>
    </w:tbl>
    <w:p w:rsidR="00000000" w:rsidDel="00000000" w:rsidP="00000000" w:rsidRDefault="00000000" w:rsidRPr="00000000" w14:paraId="000000C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Random forest performance after tuning</w:t>
      </w:r>
      <w:r w:rsidDel="00000000" w:rsidR="00000000" w:rsidRPr="00000000">
        <w:rPr>
          <w:rtl w:val="0"/>
        </w:rPr>
      </w:r>
    </w:p>
    <w:sectPr>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