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DeFi 核心项目面试回答</w:t>
      </w:r>
    </w:p>
    <w:p>
      <w:pPr>
        <w:pStyle w:val="Heading2"/>
      </w:pPr>
      <w:r>
        <w:t xml:space="preserve">一、借贷核心智能合约开发</w:t>
      </w:r>
    </w:p>
    <w:p>
      <w:pPr>
        <w:pStyle w:val="text"/>
      </w:pPr>
      <w:r>
        <w:t xml:space="preserve">在某去中心化借贷协议项目中，我负责核心智能合约的全流程开发，核心目标是实现功能模块化、安全合规化与成本最优化。</w:t>
      </w:r>
    </w:p>
    <w:p>
      <w:pPr>
        <w:pStyle w:val="text"/>
      </w:pPr>
      <w:r>
        <w:t xml:space="preserve">首先，从业务拆解出发采用模块化设计：将资金池管理、固定利率计算、抵押品清算拆分为独立模块，模块间通过 “权限可控的接口调用” 实现数据交互 —— 比如资金池模块仅向清算模块开放 “清算资金划拨” 权限，同时加入数据校验逻辑（如清算金额与抵押品价值匹配校验），避免跨模块权限冲突。其中，固定利率计算模块设计了 “供需联动公式”，结合市场借款量、资金池余额动态调整利率，既保证资金池收益，又避免用户借贷成本过高。</w:t>
      </w:r>
    </w:p>
    <w:p>
      <w:pPr>
        <w:pStyle w:val="text"/>
      </w:pPr>
      <w:r>
        <w:t xml:space="preserve">安全与成本优化方面，我组合使用 Slither 与 MythX 工具：通过 Slither 静态分析发现 3 处整数溢出风险（如清算金额计算未做边界限制），引入 OpenZeppelin 的 SafeMath 库修复；借助 MythX 动态模拟 “重入攻击”“权限越权” 等 10 + 攻击场景，补充 2 处权限控制逻辑。Gas 优化上，通过 “精简冗余变量”（如合并重复的抵押品价值计算逻辑）、“优化存储结构”（将高频读取数据存入 memory 而非 storage）、“合理使用 calldata”（函数参数优先用 calldata 减少拷贝消耗），最终实现合约调用成本降低约 15%—— 以 “抵押品清算” 操作为例，优化前单次调用 Gas 消耗约 8 万，优化后降至 6.8 万，通过对比测试网 1000 + 次操作数据验证了效果。</w:t>
      </w:r>
    </w:p>
    <w:p>
      <w:pPr>
        <w:pStyle w:val="Heading2"/>
      </w:pPr>
      <w:r>
        <w:t xml:space="preserve">二、多源价格预言机系统设计与实现</w:t>
      </w:r>
    </w:p>
    <w:p>
      <w:pPr>
        <w:pStyle w:val="text"/>
      </w:pPr>
      <w:r>
        <w:t xml:space="preserve">为解决单一数据源 “价格操控”“数据延迟” 问题，我设计并落地了多源价格预言机系统，核心思路是 “多源聚合 + 风险防控”。</w:t>
      </w:r>
    </w:p>
    <w:p>
      <w:pPr>
        <w:pStyle w:val="text"/>
      </w:pPr>
      <w:r>
        <w:t xml:space="preserve">数据源选择上，聚合 Chainlink（去中心化预言机网络，数据权威性高）与 Uniswap V3（去中心化交易所，反映实时市场供需）两类核心数据源，同时预留 Curve、SushiSwap 应急数据源接口。数据融合采用 “动态权重策略”：权重由 “数据源响应速度”“历史价格偏差率”“流动性覆盖度” 三个指标决定 —— 比如 Chainlink 响应速度快（平均 1.2 秒）、历史偏差率低于 0.5%，基础权重设为 60%；Uniswap V3 因实时性强，权重随其流动性波动调整（流动性充足时权重 40%，不足时降至 20%），权重每 5 分钟更新一次，避免数据震荡。</w:t>
      </w:r>
    </w:p>
    <w:p>
      <w:pPr>
        <w:pStyle w:val="text"/>
      </w:pPr>
      <w:r>
        <w:t xml:space="preserve">防操控与异常校验层面，引入 TWAP 机制（时间加权平均价格）：针对高流动性资产（如 ETH/USDC）设 15 分钟时间窗口，低流动性资产（如小众 ERC20 代币）设 30 分钟窗口，平滑短期价格波动；异常数据校验设置 “双阈值规则”—— 当某数据源价格与其他数据源平均价格偏差超 5% 时，暂时排除该数据源；若偏差持续 10 分钟未修复，触发应急数据源切换。比如曾出现 Uniswap V3 因单笔大额交易价格偏离 8%，系统自动将其权重降至 0，同时启用 Curve 数据，确保价格偏差控制在 2% 以内。</w:t>
      </w:r>
    </w:p>
    <w:p>
      <w:pPr>
        <w:pStyle w:val="Heading2"/>
      </w:pPr>
      <w:r>
        <w:t xml:space="preserve">三、高可用自动化清算机器人开发</w:t>
      </w:r>
    </w:p>
    <w:p>
      <w:pPr>
        <w:pStyle w:val="text"/>
      </w:pPr>
      <w:r>
        <w:t xml:space="preserve">为保障借贷协议资金池安全，我开发了高可用自动化清算机器人，核心目标是 “实时监控、高效清算、成本可控”。</w:t>
      </w:r>
    </w:p>
    <w:p>
      <w:pPr>
        <w:pStyle w:val="text"/>
      </w:pPr>
      <w:r>
        <w:t xml:space="preserve">实时监控采用 “多节点冗余 WebSocket 连接” 方案：同时连接 3 个不同服务商的区块链节点（如 Infura、Alchemy、QuickNode），若某节点连接中断，1 秒内自动切换至备用节点；连接恢复后，通过 “区块高度对比” 补拉中断期间的历史数据（如用户抵押率变化、市场价格波动），避免遗漏清算信号。</w:t>
      </w:r>
    </w:p>
    <w:p>
      <w:pPr>
        <w:pStyle w:val="text"/>
      </w:pPr>
      <w:r>
        <w:t xml:space="preserve">清算策略上，设计 “动态 Gas + 批量清算” 双机制：动态 Gas 价格以 “当前区块 Gas 使用率（阈值 80%）”“待确认交易数量（阈值 5000 笔）” 为判断标准 —— 当 Gas 使用率超 80%，自动将 Gas 价格上调至市场均值的 1.2 倍；若 Gas 价格达设定上限（如 1500 Gwei）仍无法确认，启动 “优先级清算”，优先处理抵押率低于 110% 的高风险用户。批量清算机制单次最多处理 20 个用户（依据 Gas 限制测算），若批量交易失败，自动按 “抵押率从低到高” 拆分为 5 笔小交易重新发起，清算成功率从初期的 85% 提升至 98% 以上。</w:t>
      </w:r>
    </w:p>
    <w:p>
      <w:pPr>
        <w:pStyle w:val="text"/>
      </w:pPr>
      <w:r>
        <w:t xml:space="preserve">成本优化方面，通过 “批量清算” 将单次清算 Gas 成本从 12 万降至 6 万 / 笔，结合 “低峰期执行”（选择凌晨 2-4 点区块链网络空闲时段），进一步降低 30% 操作成本，每月为协议节省约 2 万美元 Gas 费用。</w:t>
      </w:r>
    </w:p>
    <w:p>
      <w:pPr>
        <w:pStyle w:val="Heading2"/>
      </w:pPr>
      <w:r>
        <w:t xml:space="preserve">四、基于 The Graph 的 Subgraph 数据索引服务</w:t>
      </w:r>
    </w:p>
    <w:p>
      <w:pPr>
        <w:pStyle w:val="text"/>
      </w:pPr>
      <w:r>
        <w:t xml:space="preserve">为解决前端 “链上查询慢、数据聚合难” 问题，我基于 The Graph 协议设计实现 Subgraph 数据索引服务，核心是 “高效索引、快速查询”。</w:t>
      </w:r>
    </w:p>
    <w:p>
      <w:pPr>
        <w:pStyle w:val="text"/>
      </w:pPr>
      <w:r>
        <w:t xml:space="preserve">Subgraph 设计阶段，重点优化 “数据实体关联” 与 “索引规则”：定义 “用户”“交易”“抵押品”“清算事件” 4 类核心实体，通过 “用户地址”“交易哈希” 建立关联关系，同时对高频查询字段（如用户地址、交易时间）添加 @index 注解；针对 “清算事件” 这类复杂场景，设计 “多维度关联索引”（关联用户地址、抵押品类型、清算时间、价格数据），避免查询时多表关联耗时。</w:t>
      </w:r>
    </w:p>
    <w:p>
      <w:pPr>
        <w:pStyle w:val="text"/>
      </w:pPr>
      <w:r>
        <w:t xml:space="preserve">数据处理上，加入 “事件去重” 与 “异常过滤” 逻辑：通过 “交易哈希 + 区块高度” 双重校验，排除区块重组导致的重复事件；对 “异常交易”（如金额为 0 的存币事件）自动标记并过滤，确保索引数据准确性。</w:t>
      </w:r>
    </w:p>
    <w:p>
      <w:pPr>
        <w:pStyle w:val="text"/>
      </w:pPr>
      <w:r>
        <w:t xml:space="preserve">最终效果上，前端数据响应速度提升 80%—— 比如 “用户近 30 天借款记录查询”，链上直接查询需 8-10 秒，通过 Subgraph 查询仅需 1.5 秒；“全平台每日清算总额统计” 这类聚合查询，响应时间从 20 秒缩短至 3 秒，完全满足前端实时展示需求。</w:t>
      </w:r>
    </w:p>
    <w:p>
      <w:pPr>
        <w:pStyle w:val="Heading2"/>
      </w:pPr>
      <w:r>
        <w:t xml:space="preserve">五、多层次风控体系构建</w:t>
      </w:r>
    </w:p>
    <w:p>
      <w:pPr>
        <w:pStyle w:val="text"/>
      </w:pPr>
      <w:r>
        <w:t xml:space="preserve">为覆盖借贷协议全链路风险，我构建了多层次风控体系，核心是 “事前预防、事中监控、事后应对”。</w:t>
      </w:r>
    </w:p>
    <w:p>
      <w:pPr>
        <w:pStyle w:val="text"/>
      </w:pPr>
      <w:r>
        <w:t xml:space="preserve">事前预防层面，设计 “抵押品因子 + 债务上限” 双控制：抵押品因子根据 “资产波动率（如 BTC 波动率 2%/ 天，因子 0.7；小众代币波动率 8%/ 天，因子 0.3）”“市场深度” 设定，每月根据资产表现动态调整；债务上限分 “个人 + 协议” 两级 —— 个人债务上限与用户历史信用挂钩（如信用良好用户上限 5 万美元），协议整体债务上限不超过资金池余额的 80%，避免过度借贷。</w:t>
      </w:r>
    </w:p>
    <w:p>
      <w:pPr>
        <w:pStyle w:val="text"/>
      </w:pPr>
      <w:r>
        <w:t xml:space="preserve">事中监控与应对上，实现 “预言机故障切换” 与 “紧急暂停” 机制：当主预言机（如 Chainlink）数据延迟超 5 分钟，自动切换至备用预言机；若发现合约漏洞或大规模攻击，管理员可通过多签钱包触发紧急暂停，10 秒内暂停所有借款、清算操作，同时开放 “用户资产退出通道”（允许用户还款赎回抵押品）。</w:t>
      </w:r>
    </w:p>
    <w:p>
      <w:pPr>
        <w:pStyle w:val="text"/>
      </w:pPr>
      <w:r>
        <w:t xml:space="preserve">事后安全强化通过 “漏洞赏金计划” 实现：将漏洞分为 Critical（奖励 5000-5 万美元）、High（1000-5000 美元）、Medium（500-1000 美元）、Low（100-500 美元）四级，奖励与漏洞修复难度挂钩；计划启动以来，共收到 42 份漏洞报告，其中有效漏洞 12 份（Critical 2 份、High 4 份），最严重漏洞为 “清算逻辑权限控制缺陷”，修复后通过模糊测试（模拟 10 万次清算场景）、第三方安全审计验证，确保无残留风险。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2025-09-22T13:29:55.555Z</dcterms:created>
  <dcterms:modified xsi:type="dcterms:W3CDTF">2025-09-22T13:29:55.555Z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