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Mobius Finance DeFi 协议 Solidity 开发负责功能</w:t>
      </w:r>
    </w:p>
    <w:p>
      <w:pPr>
        <w:pStyle w:val="text"/>
      </w:pPr>
      <w:r>
        <w:t xml:space="preserve">在 Mobius Finance 固定利率借贷协议中，Solidity 作为核心合约开发语言，承担 “借贷业务逻辑链上实现、资产安全管控、合约权限治理” 三大核心职能，是保障固定利率、固定期限规则落地，以及用户资产安全的底层技术载体。具体负责以下功能模块设计与开发：</w:t>
      </w:r>
    </w:p>
    <w:p>
      <w:pPr>
        <w:pStyle w:val="Heading2"/>
      </w:pPr>
      <w:r>
        <w:t xml:space="preserve">一、核心借贷合约体系设计与实现</w:t>
      </w:r>
    </w:p>
    <w:p>
      <w:pPr>
        <w:pStyle w:val="text"/>
      </w:pPr>
      <w:r>
        <w:t xml:space="preserve">围绕 “固定利率 + 固定期限” 核心特性，设计分层合约架构（借贷池合约、利率计算合约、抵押品管理合约），实现借贷全生命周期的链上逻辑闭环：</w:t>
      </w:r>
    </w:p>
    <w:p>
      <w:pPr>
        <w:pStyle w:val="Heading3"/>
      </w:pPr>
      <w:r>
        <w:t xml:space="preserve">1. 借贷池合约（MobiusLendingPool）—— 核心业务入口</w:t>
      </w:r>
    </w:p>
    <w:p>
      <w:pPr>
        <w:pStyle w:val="text"/>
      </w:pPr>
      <w:r>
        <w:t xml:space="preserve">作为用户交互的核心合约，封装 “创建借贷订单、偿还贷款、清算抵押品” 等核心功能，严格遵循固定利率与期限约束：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固定利率借贷订单创建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定义标准化借贷订单结构体（</w:t>
      </w:r>
      <w:r>
        <w:rPr>
          <w:highlight w:val="cyan"/>
          <w:highlightCs w:val="cyan"/>
          <w:bdr w:val="single" w:color="dee0e3" w:sz="4" w:space="0"/>
        </w:rPr>
        <w:t xml:space="preserve">Loan</w:t>
      </w:r>
      <w:r>
        <w:t xml:space="preserve">），包含关键字段：</w:t>
      </w:r>
      <w:r>
        <w:rPr>
          <w:highlight w:val="cyan"/>
          <w:highlightCs w:val="cyan"/>
          <w:bdr w:val="single" w:color="dee0e3" w:sz="4" w:space="0"/>
        </w:rPr>
        <w:t xml:space="preserve">borrower</w:t>
      </w:r>
      <w:r>
        <w:t xml:space="preserve">（借款人地址）、</w:t>
      </w:r>
      <w:r>
        <w:rPr>
          <w:highlight w:val="cyan"/>
          <w:highlightCs w:val="cyan"/>
          <w:bdr w:val="single" w:color="dee0e3" w:sz="4" w:space="0"/>
        </w:rPr>
        <w:t xml:space="preserve">lender</w:t>
      </w:r>
      <w:r>
        <w:t xml:space="preserve">（出借人地址，初始为借贷池）、</w:t>
      </w:r>
      <w:r>
        <w:rPr>
          <w:highlight w:val="cyan"/>
          <w:highlightCs w:val="cyan"/>
          <w:bdr w:val="single" w:color="dee0e3" w:sz="4" w:space="0"/>
        </w:rPr>
        <w:t xml:space="preserve">borrowAmount</w:t>
      </w:r>
      <w:r>
        <w:t xml:space="preserve">（借款金额，支持 ETH/ERC20）、</w:t>
      </w:r>
      <w:r>
        <w:rPr>
          <w:highlight w:val="cyan"/>
          <w:highlightCs w:val="cyan"/>
          <w:bdr w:val="single" w:color="dee0e3" w:sz="4" w:space="0"/>
        </w:rPr>
        <w:t xml:space="preserve">fixedRate</w:t>
      </w:r>
      <w:r>
        <w:t xml:space="preserve">（固定年利率，精确到 18 位小数）、</w:t>
      </w:r>
      <w:r>
        <w:rPr>
          <w:highlight w:val="cyan"/>
          <w:highlightCs w:val="cyan"/>
          <w:bdr w:val="single" w:color="dee0e3" w:sz="4" w:space="0"/>
        </w:rPr>
        <w:t xml:space="preserve">loanTerm</w:t>
      </w:r>
      <w:r>
        <w:t xml:space="preserve">（借款期限，单位：秒）、</w:t>
      </w:r>
      <w:r>
        <w:rPr>
          <w:highlight w:val="cyan"/>
          <w:highlightCs w:val="cyan"/>
          <w:bdr w:val="single" w:color="dee0e3" w:sz="4" w:space="0"/>
        </w:rPr>
        <w:t xml:space="preserve">maturityTime</w:t>
      </w:r>
      <w:r>
        <w:t xml:space="preserve">（到期时间，创建时计算：</w:t>
      </w:r>
      <w:r>
        <w:rPr>
          <w:highlight w:val="cyan"/>
          <w:highlightCs w:val="cyan"/>
          <w:bdr w:val="single" w:color="dee0e3" w:sz="4" w:space="0"/>
        </w:rPr>
        <w:t xml:space="preserve">block.timestamp + loanTerm</w:t>
      </w:r>
      <w:r>
        <w:t xml:space="preserve">）、</w:t>
      </w:r>
      <w:r>
        <w:rPr>
          <w:highlight w:val="cyan"/>
          <w:highlightCs w:val="cyan"/>
          <w:bdr w:val="single" w:color="dee0e3" w:sz="4" w:space="0"/>
        </w:rPr>
        <w:t xml:space="preserve">collateralInfo</w:t>
      </w:r>
      <w:r>
        <w:t xml:space="preserve">（抵押品信息，含合约地址、tokenID / 数量、风险系数）、</w:t>
      </w:r>
      <w:r>
        <w:rPr>
          <w:highlight w:val="cyan"/>
          <w:highlightCs w:val="cyan"/>
          <w:bdr w:val="single" w:color="dee0e3" w:sz="4" w:space="0"/>
        </w:rPr>
        <w:t xml:space="preserve">status</w:t>
      </w:r>
      <w:r>
        <w:t xml:space="preserve">（订单状态：未激活 / 已生效 / 已偿还 / 已清算 / 已过期）。</w:t>
      </w:r>
    </w:p>
    <w:p>
      <w:pPr>
        <w:pStyle w:val="text"/>
        <w:numPr>
          <w:ilvl w:val="1"/>
          <w:numId w:val="2"/>
        </w:numPr>
      </w:pPr>
      <w:r>
        <w:t xml:space="preserve">实现</w:t>
      </w:r>
      <w:r>
        <w:rPr>
          <w:highlight w:val="cyan"/>
          <w:highlightCs w:val="cyan"/>
          <w:bdr w:val="single" w:color="dee0e3" w:sz="4" w:space="0"/>
        </w:rPr>
        <w:t xml:space="preserve">createFixedRateLoan</w:t>
      </w:r>
      <w:r>
        <w:t xml:space="preserve">函数：用户发起借贷请求时，先校验 “借款期限在协议允许范围（7 天≤</w:t>
      </w:r>
      <w:r>
        <w:rPr>
          <w:highlight w:val="cyan"/>
          <w:highlightCs w:val="cyan"/>
          <w:bdr w:val="single" w:color="dee0e3" w:sz="4" w:space="0"/>
        </w:rPr>
        <w:t xml:space="preserve">loanTerm</w:t>
      </w:r>
      <w:r>
        <w:t xml:space="preserve">≤365 天）”“固定利率不低于协议最低利率（由治理参数控制）”“抵押品价值≥借款金额 ×（1 + 利息）×1.2（安全系数）”；校验通过后，锁定用户抵押品（ERC20 通过</w:t>
      </w:r>
      <w:r>
        <w:rPr>
          <w:highlight w:val="cyan"/>
          <w:highlightCs w:val="cyan"/>
          <w:bdr w:val="single" w:color="dee0e3" w:sz="4" w:space="0"/>
        </w:rPr>
        <w:t xml:space="preserve">transferFrom</w:t>
      </w:r>
      <w:r>
        <w:t xml:space="preserve">，NFT 通过</w:t>
      </w:r>
      <w:r>
        <w:rPr>
          <w:highlight w:val="cyan"/>
          <w:highlightCs w:val="cyan"/>
          <w:bdr w:val="single" w:color="dee0e3" w:sz="4" w:space="0"/>
        </w:rPr>
        <w:t xml:space="preserve">safeTransferFrom</w:t>
      </w:r>
      <w:r>
        <w:t xml:space="preserve">转入合约），从借贷池划拨借款资金至借款人地址，同时生成唯一订单 ID（基于</w:t>
      </w:r>
      <w:r>
        <w:rPr>
          <w:highlight w:val="cyan"/>
          <w:highlightCs w:val="cyan"/>
          <w:bdr w:val="single" w:color="dee0e3" w:sz="4" w:space="0"/>
        </w:rPr>
        <w:t xml:space="preserve">keccak256(abi.encodePacked(borrower, block.timestamp, borrowAmount))</w:t>
      </w:r>
      <w:r>
        <w:t xml:space="preserve">），将订单信息存入</w:t>
      </w:r>
      <w:r>
        <w:rPr>
          <w:highlight w:val="cyan"/>
          <w:highlightCs w:val="cyan"/>
          <w:bdr w:val="single" w:color="dee0e3" w:sz="4" w:space="0"/>
        </w:rPr>
        <w:t xml:space="preserve">mapping(uint256 =&gt; Loan)</w:t>
      </w:r>
      <w:r>
        <w:t xml:space="preserve">（订单 ID - 订单映射）。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贷款偿还逻辑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实现</w:t>
      </w:r>
      <w:r>
        <w:rPr>
          <w:highlight w:val="cyan"/>
          <w:highlightCs w:val="cyan"/>
          <w:bdr w:val="single" w:color="dee0e3" w:sz="4" w:space="0"/>
        </w:rPr>
        <w:t xml:space="preserve">repayLoan(uint256 loanId)</w:t>
      </w:r>
      <w:r>
        <w:t xml:space="preserve">函数：借款人偿还时，计算 “应还总额 = 借款金额 + 利息（按固定利率 × 借款天数计算，精确到 18 位小数）”，支持 ETH 直接转账或 ERC20 授权支付；资金到账后，先划拨利息至借贷池（用于分配给出借人），剩余本金归还给借贷池，最后解锁抵押品并划转回借款人地址，同时更新订单状态为 “已偿还”。</w:t>
      </w:r>
    </w:p>
    <w:p>
      <w:pPr>
        <w:pStyle w:val="text"/>
        <w:numPr>
          <w:ilvl w:val="1"/>
          <w:numId w:val="2"/>
        </w:numPr>
      </w:pPr>
      <w:r>
        <w:t xml:space="preserve">支持 “提前还款”：允许借款人在到期前还款，利息按 “实际借款天数” 计算（不收取违约金），仅需在函数中动态计算</w:t>
      </w:r>
      <w:r>
        <w:rPr>
          <w:highlight w:val="cyan"/>
          <w:highlightCs w:val="cyan"/>
          <w:bdr w:val="single" w:color="dee0e3" w:sz="4" w:space="0"/>
        </w:rPr>
        <w:t xml:space="preserve">actualLoanDays = block.timestamp - loanCreationTime</w:t>
      </w:r>
      <w:r>
        <w:t xml:space="preserve">，确保利率固定性不受影响。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过期订单处理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实现</w:t>
      </w:r>
      <w:r>
        <w:rPr>
          <w:highlight w:val="cyan"/>
          <w:highlightCs w:val="cyan"/>
          <w:bdr w:val="single" w:color="dee0e3" w:sz="4" w:space="0"/>
        </w:rPr>
        <w:t xml:space="preserve">markLoanAsExpired(uint256 loanId)</w:t>
      </w:r>
      <w:r>
        <w:t xml:space="preserve">函数：仅允许合约管理员或定时触发合约调用，当</w:t>
      </w:r>
      <w:r>
        <w:rPr>
          <w:highlight w:val="cyan"/>
          <w:highlightCs w:val="cyan"/>
          <w:bdr w:val="single" w:color="dee0e3" w:sz="4" w:space="0"/>
        </w:rPr>
        <w:t xml:space="preserve">block.timestamp &gt; maturityTime</w:t>
      </w:r>
      <w:r>
        <w:t xml:space="preserve">且订单未偿还时，将订单状态更新为 “已过期”，同时触发抵押品清算流程（调用抵押品管理合约的</w:t>
      </w:r>
      <w:r>
        <w:rPr>
          <w:highlight w:val="cyan"/>
          <w:highlightCs w:val="cyan"/>
          <w:bdr w:val="single" w:color="dee0e3" w:sz="4" w:space="0"/>
        </w:rPr>
        <w:t xml:space="preserve">initiateLiquidation</w:t>
      </w:r>
      <w:r>
        <w:t xml:space="preserve">函数）。</w:t>
      </w:r>
    </w:p>
    <w:p>
      <w:pPr>
        <w:pStyle w:val="Heading3"/>
      </w:pPr>
      <w:r>
        <w:t xml:space="preserve">2. 固定利率计算合约（MobiusRateCalculator）—— 利率管控核心</w:t>
      </w:r>
    </w:p>
    <w:p>
      <w:pPr>
        <w:pStyle w:val="text"/>
      </w:pPr>
      <w:r>
        <w:t xml:space="preserve">独立封装利率计算逻辑，确保固定利率的公平性与合理性，避免市场操纵：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动态固定利率生成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实现</w:t>
      </w:r>
      <w:r>
        <w:rPr>
          <w:highlight w:val="cyan"/>
          <w:highlightCs w:val="cyan"/>
          <w:bdr w:val="single" w:color="dee0e3" w:sz="4" w:space="0"/>
        </w:rPr>
        <w:t xml:space="preserve">calculateFixedRate(uint256 borrowAmount, uint256 loanTerm, address asset)</w:t>
      </w:r>
      <w:r>
        <w:t xml:space="preserve">函数：基于 “借贷资产类型、借款金额、期限” 三维度计算基础利率 —— 例如 ETH 作为借款资产，借款金额 10-100 ETH、期限 30 天，基础利率为 5%；借款金额＞100 ETH、期限＞90 天，基础利率下调至 4.2%（鼓励长期大额借款），利率计算参数（如金额分段阈值、期限利率系数）通过治理合约动态调整。</w:t>
      </w:r>
    </w:p>
    <w:p>
      <w:pPr>
        <w:pStyle w:val="text"/>
        <w:numPr>
          <w:ilvl w:val="1"/>
          <w:numId w:val="2"/>
        </w:numPr>
      </w:pPr>
      <w:r>
        <w:t xml:space="preserve">引入 “市场供需调节因子”：当借贷池某资产 “已借总额 / 总余额”＞70%（供不应求），在基础利率上上浮 10%-20%；当该比例＜30%（供过于求），下浮 5%-10%，调节因子每 24 小时更新一次，确保利率反映市场真实供需。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利息精确计算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实现</w:t>
      </w:r>
      <w:r>
        <w:rPr>
          <w:highlight w:val="cyan"/>
          <w:highlightCs w:val="cyan"/>
          <w:bdr w:val="single" w:color="dee0e3" w:sz="4" w:space="0"/>
        </w:rPr>
        <w:t xml:space="preserve">calculateInterest(uint256 principal, uint256 fixedRate, uint256 loanDays)</w:t>
      </w:r>
      <w:r>
        <w:t xml:space="preserve">函数：采用 “单利计算模型”，公式为</w:t>
      </w:r>
      <w:r>
        <w:rPr>
          <w:highlight w:val="cyan"/>
          <w:highlightCs w:val="cyan"/>
          <w:bdr w:val="single" w:color="dee0e3" w:sz="4" w:space="0"/>
        </w:rPr>
        <w:t xml:space="preserve">interest = principal × fixedRate × loanDays / 365</w:t>
      </w:r>
      <w:r>
        <w:t xml:space="preserve">，使用</w:t>
      </w:r>
      <w:r>
        <w:rPr>
          <w:highlight w:val="cyan"/>
          <w:highlightCs w:val="cyan"/>
          <w:bdr w:val="single" w:color="dee0e3" w:sz="4" w:space="0"/>
        </w:rPr>
        <w:t xml:space="preserve">SafeMath</w:t>
      </w:r>
      <w:r>
        <w:t xml:space="preserve">库（或 Solidity 0.8 + 内置溢出检查）确保计算无溢出，同时支持 18 位小数精度（如 1 ETH 本金、5% 利率、30 天期限，利息 = 1×5%×30/365=0.004109589 ETH）。</w:t>
      </w:r>
    </w:p>
    <w:p>
      <w:pPr>
        <w:pStyle w:val="Heading3"/>
      </w:pPr>
      <w:r>
        <w:t xml:space="preserve">3. 抵押品管理合约（MobiusCollateralManager）—— 资产安全保障</w:t>
      </w:r>
    </w:p>
    <w:p>
      <w:pPr>
        <w:pStyle w:val="text"/>
      </w:pPr>
      <w:r>
        <w:t xml:space="preserve">专注抵押品的锁定、估值、清算逻辑，防范借款人违约风险：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抵押品估值与风险系数管控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定义</w:t>
      </w:r>
      <w:r>
        <w:rPr>
          <w:highlight w:val="cyan"/>
          <w:highlightCs w:val="cyan"/>
          <w:bdr w:val="single" w:color="dee0e3" w:sz="4" w:space="0"/>
        </w:rPr>
        <w:t xml:space="preserve">mapping(address =&gt; uint256)</w:t>
      </w:r>
      <w:r>
        <w:t xml:space="preserve">（抵押品合约地址 - 风险系数映射），例如 ETH 风险系数 0.7（抵押品价值需≥借款金额 / 0.7）、BTC 风险系数 0.65、小众 ERC20 代币风险系数 0.5（风险越高系数越低），风险系数由治理投票更新。</w:t>
      </w:r>
    </w:p>
    <w:p>
      <w:pPr>
        <w:pStyle w:val="text"/>
        <w:numPr>
          <w:ilvl w:val="1"/>
          <w:numId w:val="2"/>
        </w:numPr>
      </w:pPr>
      <w:r>
        <w:t xml:space="preserve">集成 Chainlink Price Feeds 预言机：实现</w:t>
      </w:r>
      <w:r>
        <w:rPr>
          <w:highlight w:val="cyan"/>
          <w:highlightCs w:val="cyan"/>
          <w:bdr w:val="single" w:color="dee0e3" w:sz="4" w:space="0"/>
        </w:rPr>
        <w:t xml:space="preserve">getCollateralValue(address collateralAddr, uint256 amount, uint256 tokenId)</w:t>
      </w:r>
      <w:r>
        <w:t xml:space="preserve">函数，调用 Chainlink </w:t>
      </w:r>
      <w:r>
        <w:rPr>
          <w:highlight w:val="cyan"/>
          <w:highlightCs w:val="cyan"/>
          <w:bdr w:val="single" w:color="dee0e3" w:sz="4" w:space="0"/>
        </w:rPr>
        <w:t xml:space="preserve">latestRoundData</w:t>
      </w:r>
      <w:r>
        <w:t xml:space="preserve">接口获取抵押品实时价格（如 ETH/USD 价格），计算抵押品总价值 = 价格 × 数量（ERC20）/ 单个估值（NFT），同时校验价格更新时间（需在 24 小时内，避免使用过期价格）。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抵押品清算逻辑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实现</w:t>
      </w:r>
      <w:r>
        <w:rPr>
          <w:highlight w:val="cyan"/>
          <w:highlightCs w:val="cyan"/>
          <w:bdr w:val="single" w:color="dee0e3" w:sz="4" w:space="0"/>
        </w:rPr>
        <w:t xml:space="preserve">initiateLiquidation(uint256 loanId)</w:t>
      </w:r>
      <w:r>
        <w:t xml:space="preserve">函数：当抵押品价值≤借款金额 ×（1 + 利息）×1.1（清算阈值）或订单过期时，触发清算 —— 允许清算者以 “90% 市场价” 买入抵押品（清算折扣），清算者支付 “借款金额 + 利息” 后，抵押品划转给清算者，超额部分（若有）退还借款人；若清算后仍有未偿还金额，从借贷池风险准备金中抵扣。</w:t>
      </w:r>
    </w:p>
    <w:p>
      <w:pPr>
        <w:pStyle w:val="text"/>
        <w:numPr>
          <w:ilvl w:val="1"/>
          <w:numId w:val="2"/>
        </w:numPr>
      </w:pPr>
      <w:r>
        <w:t xml:space="preserve">支持批量清算：实现</w:t>
      </w:r>
      <w:r>
        <w:rPr>
          <w:highlight w:val="cyan"/>
          <w:highlightCs w:val="cyan"/>
          <w:bdr w:val="single" w:color="dee0e3" w:sz="4" w:space="0"/>
        </w:rPr>
        <w:t xml:space="preserve">batchLiquidate(uint256[] calldata loanIds)</w:t>
      </w:r>
      <w:r>
        <w:t xml:space="preserve">函数，允许清算者一次性清算多个符合条件的订单，减少 Gas 消耗（批量清算 Gas 成本比单次清算降低 30% 以上），同时限制单次批量清算订单数≤20（避免 Gas 超限）。</w:t>
      </w:r>
    </w:p>
    <w:p>
      <w:pPr>
        <w:pStyle w:val="Heading2"/>
      </w:pPr>
      <w:r>
        <w:t xml:space="preserve">二、合约安全与权限管控设计</w:t>
      </w:r>
    </w:p>
    <w:p>
      <w:pPr>
        <w:pStyle w:val="text"/>
      </w:pPr>
      <w:r>
        <w:t xml:space="preserve">通过多维度安全机制，防范合约漏洞与恶意攻击，保障用户资产与协议稳定：</w:t>
      </w:r>
    </w:p>
    <w:p>
      <w:pPr>
        <w:pStyle w:val="Heading3"/>
      </w:pPr>
      <w:r>
        <w:t xml:space="preserve">1. 基础安全防护措施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溢出与重入防护</w:t>
      </w:r>
      <w:r>
        <w:t xml:space="preserve">：使用 Solidity 0.8.0 + 版本（内置整数溢出 / 下溢检查），关键函数（如</w:t>
      </w:r>
      <w:r>
        <w:rPr>
          <w:highlight w:val="cyan"/>
          <w:highlightCs w:val="cyan"/>
          <w:bdr w:val="single" w:color="dee0e3" w:sz="4" w:space="0"/>
        </w:rPr>
        <w:t xml:space="preserve">repayLoan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initiateLiquidation</w:t>
      </w:r>
      <w:r>
        <w:t xml:space="preserve">）添加</w:t>
      </w:r>
      <w:r>
        <w:rPr>
          <w:highlight w:val="cyan"/>
          <w:highlightCs w:val="cyan"/>
          <w:bdr w:val="single" w:color="dee0e3" w:sz="4" w:space="0"/>
        </w:rPr>
        <w:t xml:space="preserve">nonReentrant</w:t>
      </w:r>
      <w:r>
        <w:t xml:space="preserve">修饰符（基于 OpenZeppelin ReentrancyGuard），避免重入攻击。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权限控制</w:t>
      </w:r>
      <w:r>
        <w:t xml:space="preserve">：集成 OpenZeppelin Ownable2Step 合约，核心操作（如更新风险系数、调整协议利率参数、触发紧急暂停）仅允许 “管理员 + 多签钱包” 共同调用，避免单点权限滥用；定义</w:t>
      </w:r>
      <w:r>
        <w:rPr>
          <w:highlight w:val="cyan"/>
          <w:highlightCs w:val="cyan"/>
          <w:bdr w:val="single" w:color="dee0e3" w:sz="4" w:space="0"/>
        </w:rPr>
        <w:t xml:space="preserve">onlyAdmin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onlyLiquidator</w:t>
      </w:r>
      <w:r>
        <w:t xml:space="preserve">（仅授权清算者）等自定义修饰符，严格限制函数调用者身份。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异常场景处理</w:t>
      </w:r>
      <w:r>
        <w:t xml:space="preserve">：在抵押品转账、资金划拨等关键步骤添加</w:t>
      </w:r>
      <w:r>
        <w:rPr>
          <w:highlight w:val="cyan"/>
          <w:highlightCs w:val="cyan"/>
          <w:bdr w:val="single" w:color="dee0e3" w:sz="4" w:space="0"/>
        </w:rPr>
        <w:t xml:space="preserve">try-catch</w:t>
      </w:r>
      <w:r>
        <w:t xml:space="preserve">逻辑，例如 NFT 抵押品</w:t>
      </w:r>
      <w:r>
        <w:rPr>
          <w:highlight w:val="cyan"/>
          <w:highlightCs w:val="cyan"/>
          <w:bdr w:val="single" w:color="dee0e3" w:sz="4" w:space="0"/>
        </w:rPr>
        <w:t xml:space="preserve">safeTransferFrom</w:t>
      </w:r>
      <w:r>
        <w:t xml:space="preserve">失败时（如接收地址不支持 NFT），自动回滚订单创建流程，退还用户已支付资金，同时触发</w:t>
      </w:r>
      <w:r>
        <w:rPr>
          <w:highlight w:val="cyan"/>
          <w:highlightCs w:val="cyan"/>
          <w:bdr w:val="single" w:color="dee0e3" w:sz="4" w:space="0"/>
        </w:rPr>
        <w:t xml:space="preserve">CollateralTransferFailed</w:t>
      </w:r>
      <w:r>
        <w:t xml:space="preserve">事件通知前端。</w:t>
      </w:r>
    </w:p>
    <w:p>
      <w:pPr>
        <w:pStyle w:val="Heading3"/>
      </w:pPr>
      <w:r>
        <w:t xml:space="preserve">2. 紧急暂停与风险准备金机制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紧急暂停功能</w:t>
      </w:r>
      <w:r>
        <w:t xml:space="preserve">：集成 OpenZeppelin Pausable 合约，当协议遭遇重大漏洞（如预言机故障、清算逻辑缺陷）时，管理员可调用</w:t>
      </w:r>
      <w:r>
        <w:rPr>
          <w:highlight w:val="cyan"/>
          <w:highlightCs w:val="cyan"/>
          <w:bdr w:val="single" w:color="dee0e3" w:sz="4" w:space="0"/>
        </w:rPr>
        <w:t xml:space="preserve">pause()</w:t>
      </w:r>
      <w:r>
        <w:t xml:space="preserve">函数暂停所有核心功能（创建订单、偿还、清算），避免损失扩大；修复后通过</w:t>
      </w:r>
      <w:r>
        <w:rPr>
          <w:highlight w:val="cyan"/>
          <w:highlightCs w:val="cyan"/>
          <w:bdr w:val="single" w:color="dee0e3" w:sz="4" w:space="0"/>
        </w:rPr>
        <w:t xml:space="preserve">unpause()</w:t>
      </w:r>
      <w:r>
        <w:t xml:space="preserve">恢复，暂停期间用户可查询订单但无法操作。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风险准备金设计</w:t>
      </w:r>
      <w:r>
        <w:t xml:space="preserve">：在借贷池合约中预留 “风险准备金” 模块，从每笔借贷利息中提取 5% 存入准备金（如 100 ETH 利息提取 5 ETH 准备金），当清算后仍有未覆盖损失时，从准备金中弥补出借人损失；准备金余额不足时，触发治理提案补充，确保出借人资产安全。</w:t>
      </w:r>
    </w:p>
    <w:p>
      <w:pPr>
        <w:pStyle w:val="Heading2"/>
      </w:pPr>
      <w:r>
        <w:t xml:space="preserve">三、合约交互与事件设计</w:t>
      </w:r>
    </w:p>
    <w:p>
      <w:pPr>
        <w:pStyle w:val="text"/>
      </w:pPr>
      <w:r>
        <w:t xml:space="preserve">规范合约间交互逻辑，通过事件机制实现链下数据同步，支撑前端与监控系统：</w:t>
      </w:r>
    </w:p>
    <w:p>
      <w:pPr>
        <w:pStyle w:val="Heading3"/>
      </w:pPr>
      <w:r>
        <w:t xml:space="preserve">1. 合约间交互规范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最小权限原则</w:t>
      </w:r>
      <w:r>
        <w:t xml:space="preserve">：借贷池合约仅向抵押品管理合约开放 “抵押品估值、清算触发” 权限，向利率计算合约开放 “利率计算” 权限，通过</w:t>
      </w:r>
      <w:r>
        <w:rPr>
          <w:highlight w:val="cyan"/>
          <w:highlightCs w:val="cyan"/>
          <w:bdr w:val="single" w:color="dee0e3" w:sz="4" w:space="0"/>
        </w:rPr>
        <w:t xml:space="preserve">interface</w:t>
      </w:r>
      <w:r>
        <w:t xml:space="preserve">定义合约交互接口，避免不必要的功能暴露 —— 例如抵押品管理合约仅实现</w:t>
      </w:r>
      <w:r>
        <w:rPr>
          <w:highlight w:val="cyan"/>
          <w:highlightCs w:val="cyan"/>
          <w:bdr w:val="single" w:color="dee0e3" w:sz="4" w:space="0"/>
        </w:rPr>
        <w:t xml:space="preserve">ICollateralManager</w:t>
      </w:r>
      <w:r>
        <w:t xml:space="preserve">接口中</w:t>
      </w:r>
      <w:r>
        <w:rPr>
          <w:highlight w:val="cyan"/>
          <w:highlightCs w:val="cyan"/>
          <w:bdr w:val="single" w:color="dee0e3" w:sz="4" w:space="0"/>
        </w:rPr>
        <w:t xml:space="preserve">getCollateralValue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initiateLiquidation</w:t>
      </w:r>
      <w:r>
        <w:t xml:space="preserve">等必要函数，其他函数不对外暴露。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跨合约调用异常处理</w:t>
      </w:r>
      <w:r>
        <w:t xml:space="preserve">：当借贷池合约调用利率计算合约</w:t>
      </w:r>
      <w:r>
        <w:rPr>
          <w:highlight w:val="cyan"/>
          <w:highlightCs w:val="cyan"/>
          <w:bdr w:val="single" w:color="dee0e3" w:sz="4" w:space="0"/>
        </w:rPr>
        <w:t xml:space="preserve">calculateFixedRate</w:t>
      </w:r>
      <w:r>
        <w:t xml:space="preserve">函数时，添加返回值校验（如利率不得为 0 或超过 50%），若返回异常，立即回滚当前操作，同时触发</w:t>
      </w:r>
      <w:r>
        <w:rPr>
          <w:highlight w:val="cyan"/>
          <w:highlightCs w:val="cyan"/>
          <w:bdr w:val="single" w:color="dee0e3" w:sz="4" w:space="0"/>
        </w:rPr>
        <w:t xml:space="preserve">RateCalculationFailed</w:t>
      </w:r>
      <w:r>
        <w:t xml:space="preserve">事件，便于链下监控排查问题。</w:t>
      </w:r>
    </w:p>
    <w:p>
      <w:pPr>
        <w:pStyle w:val="Heading3"/>
      </w:pPr>
      <w:r>
        <w:t xml:space="preserve">2. 标准化事件设计</w:t>
      </w:r>
    </w:p>
    <w:p>
      <w:pPr>
        <w:pStyle w:val="text"/>
      </w:pPr>
      <w:r>
        <w:t xml:space="preserve">为每个核心操作定义清晰事件，便于链下系统（如 GO 中间层、前端）监听与数据同步：</w:t>
      </w:r>
    </w:p>
    <w:p>
      <w:pPr>
        <w:pStyle w:val="text"/>
        <w:numPr>
          <w:ilvl w:val="0"/>
          <w:numId w:val="2"/>
        </w:numPr>
      </w:pPr>
      <w:r>
        <w:t xml:space="preserve">订单相关事件：</w:t>
      </w:r>
      <w:r>
        <w:rPr>
          <w:highlight w:val="cyan"/>
          <w:highlightCs w:val="cyan"/>
          <w:bdr w:val="single" w:color="dee0e3" w:sz="4" w:space="0"/>
        </w:rPr>
        <w:t xml:space="preserve">LoanCreated(uint256 indexed loanId, address indexed borrower, uint256 borrowAmount, uint256 fixedRate, uint256 maturityTime)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LoanRepaid(uint256 indexed loanId, uint256 repaidAmount, uint256 interest)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LoanLiquidated(uint256 indexed loanId, address indexed liquidator, uint256 collateralValue)</w:t>
      </w:r>
      <w:r>
        <w:t xml:space="preserve">。</w:t>
      </w:r>
    </w:p>
    <w:p>
      <w:pPr>
        <w:pStyle w:val="text"/>
        <w:numPr>
          <w:ilvl w:val="0"/>
          <w:numId w:val="2"/>
        </w:numPr>
      </w:pPr>
      <w:r>
        <w:t xml:space="preserve">系统相关事件：</w:t>
      </w:r>
      <w:r>
        <w:rPr>
          <w:highlight w:val="cyan"/>
          <w:highlightCs w:val="cyan"/>
          <w:bdr w:val="single" w:color="dee0e3" w:sz="4" w:space="0"/>
        </w:rPr>
        <w:t xml:space="preserve">CollateralRiskFactorUpdated(address indexed collateralAddr, uint256 newRiskFactor)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ProtocolPaused(address indexed operator, uint256 pausedTime)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RiskReserveUpdated(uint256 newReserveAmount)</w:t>
      </w:r>
      <w:r>
        <w:t xml:space="preserve">。</w:t>
      </w:r>
    </w:p>
    <w:p>
      <w:pPr>
        <w:pStyle w:val="text"/>
        <w:numPr>
          <w:ilvl w:val="0"/>
          <w:numId w:val="2"/>
        </w:numPr>
      </w:pPr>
      <w:r>
        <w:t xml:space="preserve">事件中</w:t>
      </w:r>
      <w:r>
        <w:rPr>
          <w:highlight w:val="cyan"/>
          <w:highlightCs w:val="cyan"/>
          <w:bdr w:val="single" w:color="dee0e3" w:sz="4" w:space="0"/>
        </w:rPr>
        <w:t xml:space="preserve">indexed</w:t>
      </w:r>
      <w:r>
        <w:t xml:space="preserve">关键字标记核心字段（如 loanId、borrower），便于链下系统高效筛选特定事件（如查询某用户的所有借贷订单事件）。</w:t>
      </w:r>
    </w:p>
    <w:p>
      <w:pPr>
        <w:pStyle w:val="Heading2"/>
      </w:pPr>
      <w:r>
        <w:t xml:space="preserve">四、治理与参数配置合约（MobiusGovernance）</w:t>
      </w:r>
    </w:p>
    <w:p>
      <w:pPr>
        <w:pStyle w:val="text"/>
      </w:pPr>
      <w:r>
        <w:t xml:space="preserve">支持协议参数的去中心化更新，确保协议长期适应性：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治理提案与投票</w:t>
      </w:r>
      <w:r>
        <w:t xml:space="preserve">：实现 “提案 - 投票 - 执行” 治理流程，任何持有协议治理代币（如 MOBI）的用户可发起提案（如更新抵押品风险系数、调整利率计算参数），提案需获得≥20% 治理代币投票且赞成票≥50% 方可通过，投票周期为 7 天。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参数动态更新</w:t>
      </w:r>
      <w:r>
        <w:t xml:space="preserve">：定义</w:t>
      </w:r>
      <w:r>
        <w:rPr>
          <w:highlight w:val="cyan"/>
          <w:highlightCs w:val="cyan"/>
          <w:bdr w:val="single" w:color="dee0e3" w:sz="4" w:space="0"/>
        </w:rPr>
        <w:t xml:space="preserve">mapping(string =&gt; uint256)</w:t>
      </w:r>
      <w:r>
        <w:t xml:space="preserve">（参数名称 - 参数值映射），例如 “minLoanTerm”（最小借款期限）、“maxFixedRate”（最高固定利率）、“liquidationThreshold”（清算阈值），提案通过后，通过</w:t>
      </w:r>
      <w:r>
        <w:rPr>
          <w:highlight w:val="cyan"/>
          <w:highlightCs w:val="cyan"/>
          <w:bdr w:val="single" w:color="dee0e3" w:sz="4" w:space="0"/>
        </w:rPr>
        <w:t xml:space="preserve">updateProtocolParameter(string calldata paramName, uint256 newValue)</w:t>
      </w:r>
      <w:r>
        <w:t xml:space="preserve">函数更新参数，更新后触发</w:t>
      </w:r>
      <w:r>
        <w:rPr>
          <w:highlight w:val="cyan"/>
          <w:highlightCs w:val="cyan"/>
          <w:bdr w:val="single" w:color="dee0e3" w:sz="4" w:space="0"/>
        </w:rPr>
        <w:t xml:space="preserve">ParameterUpdated</w:t>
      </w:r>
      <w:r>
        <w:t xml:space="preserve">事件，确保全系统参数同步。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2025-09-22T13:37:38.807Z</dcterms:created>
  <dcterms:modified xsi:type="dcterms:W3CDTF">2025-09-22T13:37:38.807Z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