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UBOX NFT 交易平台 Solidity 开发负责功能</w:t>
      </w:r>
    </w:p>
    <w:p>
      <w:pPr>
        <w:pStyle w:val="text"/>
      </w:pPr>
      <w:r>
        <w:t xml:space="preserve">在 UBOX 基于以太坊的 NFT 交易服务平台中，Solidity 承担 “订单薄模型链上实现、NFT 与资金安全管控、交易逻辑合规落地” 三大核心职能，是保障 NFT 限价 / 市价交易、订单编辑取消、链上查询等功能安全运行的底层技术核心。具体负责以下功能模块设计与开发：</w:t>
      </w:r>
    </w:p>
    <w:p>
      <w:pPr>
        <w:pStyle w:val="Heading2"/>
      </w:pPr>
      <w:r>
        <w:t xml:space="preserve">一、核心订单薄合约体系设计与实现</w:t>
      </w:r>
    </w:p>
    <w:p>
      <w:pPr>
        <w:pStyle w:val="text"/>
      </w:pPr>
      <w:r>
        <w:t xml:space="preserve">围绕 “订单薄模型” 核心架构，设计分层合约（主交易合约、订单管理合约、NFT 权限管控合约），实现 NFT 交易全生命周期的链上逻辑闭环：</w:t>
      </w:r>
    </w:p>
    <w:p>
      <w:pPr>
        <w:pStyle w:val="Heading3"/>
      </w:pPr>
      <w:r>
        <w:t xml:space="preserve">1. 主交易合约（UBOXNFTCore）—— 交易功能入口</w:t>
      </w:r>
    </w:p>
    <w:p>
      <w:pPr>
        <w:pStyle w:val="text"/>
      </w:pPr>
      <w:r>
        <w:t xml:space="preserve">作为用户交互核心合约，封装限价 / 市价订单创建、撮合、取消等核心功能，严格遵循 “价格优先、时间优先” 的订单薄规则：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订单数据结构标准化定义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定义</w:t>
      </w:r>
      <w:r>
        <w:rPr>
          <w:highlight w:val="cyan"/>
          <w:highlightCs w:val="cyan"/>
          <w:bdr w:val="single" w:color="dee0e3" w:sz="4" w:space="0"/>
        </w:rPr>
        <w:t xml:space="preserve">Order</w:t>
      </w:r>
      <w:r>
        <w:t xml:space="preserve">结构体存储订单核心信息，包含关键字段：</w:t>
      </w:r>
      <w:r>
        <w:rPr>
          <w:highlight w:val="cyan"/>
          <w:highlightCs w:val="cyan"/>
          <w:bdr w:val="single" w:color="dee0e3" w:sz="4" w:space="0"/>
        </w:rPr>
        <w:t xml:space="preserve">orderId</w:t>
      </w:r>
      <w:r>
        <w:t xml:space="preserve">（唯一订单 ID，通过</w:t>
      </w:r>
      <w:r>
        <w:rPr>
          <w:highlight w:val="cyan"/>
          <w:highlightCs w:val="cyan"/>
          <w:bdr w:val="single" w:color="dee0e3" w:sz="4" w:space="0"/>
        </w:rPr>
        <w:t xml:space="preserve">keccak256(abi.encodePacked(creator, block.timestamp, nftContract, tokenId))</w:t>
      </w:r>
      <w:r>
        <w:t xml:space="preserve">生成）、</w:t>
      </w:r>
      <w:r>
        <w:rPr>
          <w:highlight w:val="cyan"/>
          <w:highlightCs w:val="cyan"/>
          <w:bdr w:val="single" w:color="dee0e3" w:sz="4" w:space="0"/>
        </w:rPr>
        <w:t xml:space="preserve">creator</w:t>
      </w:r>
      <w:r>
        <w:t xml:space="preserve">（订单创建者地址）、</w:t>
      </w:r>
      <w:r>
        <w:rPr>
          <w:highlight w:val="cyan"/>
          <w:highlightCs w:val="cyan"/>
          <w:bdr w:val="single" w:color="dee0e3" w:sz="4" w:space="0"/>
        </w:rPr>
        <w:t xml:space="preserve">orderType</w:t>
      </w:r>
      <w:r>
        <w:t xml:space="preserve">（订单类型：0 = 限价买入，1 = 限价卖出，2 = 市价买入，3 = 市价卖出）、</w:t>
      </w:r>
      <w:r>
        <w:rPr>
          <w:highlight w:val="cyan"/>
          <w:highlightCs w:val="cyan"/>
          <w:bdr w:val="single" w:color="dee0e3" w:sz="4" w:space="0"/>
        </w:rPr>
        <w:t xml:space="preserve">nftInfo</w:t>
      </w:r>
      <w:r>
        <w:t xml:space="preserve">（NFT 信息：合约地址</w:t>
      </w:r>
      <w:r>
        <w:rPr>
          <w:highlight w:val="cyan"/>
          <w:highlightCs w:val="cyan"/>
          <w:bdr w:val="single" w:color="dee0e3" w:sz="4" w:space="0"/>
        </w:rPr>
        <w:t xml:space="preserve">nftContract</w:t>
      </w:r>
      <w:r>
        <w:t xml:space="preserve">、tokenID</w:t>
      </w:r>
      <w:r>
        <w:rPr>
          <w:highlight w:val="cyan"/>
          <w:highlightCs w:val="cyan"/>
          <w:bdr w:val="single" w:color="dee0e3" w:sz="4" w:space="0"/>
        </w:rPr>
        <w:t xml:space="preserve">tokenId</w:t>
      </w:r>
      <w:r>
        <w:t xml:space="preserve">）、</w:t>
      </w:r>
      <w:r>
        <w:rPr>
          <w:highlight w:val="cyan"/>
          <w:highlightCs w:val="cyan"/>
          <w:bdr w:val="single" w:color="dee0e3" w:sz="4" w:space="0"/>
        </w:rPr>
        <w:t xml:space="preserve">price</w:t>
      </w:r>
      <w:r>
        <w:t xml:space="preserve">（限价订单单价，ERC20/ETH 计价，精确到 18 位小数；市价订单此字段为 “最高 / 最低接受价”）、</w:t>
      </w:r>
      <w:r>
        <w:rPr>
          <w:highlight w:val="cyan"/>
          <w:highlightCs w:val="cyan"/>
          <w:bdr w:val="single" w:color="dee0e3" w:sz="4" w:space="0"/>
        </w:rPr>
        <w:t xml:space="preserve">amount</w:t>
      </w:r>
      <w:r>
        <w:t xml:space="preserve">（NFT 交易数量，默认 1，支持 ERC1155 多数量交易）、</w:t>
      </w:r>
      <w:r>
        <w:rPr>
          <w:highlight w:val="cyan"/>
          <w:highlightCs w:val="cyan"/>
          <w:bdr w:val="single" w:color="dee0e3" w:sz="4" w:space="0"/>
        </w:rPr>
        <w:t xml:space="preserve">filledAmount</w:t>
      </w:r>
      <w:r>
        <w:t xml:space="preserve">（已成交数量，初始 0）、</w:t>
      </w:r>
      <w:r>
        <w:rPr>
          <w:highlight w:val="cyan"/>
          <w:highlightCs w:val="cyan"/>
          <w:bdr w:val="single" w:color="dee0e3" w:sz="4" w:space="0"/>
        </w:rPr>
        <w:t xml:space="preserve">validUntil</w:t>
      </w:r>
      <w:r>
        <w:t xml:space="preserve">（订单有效期，时间戳格式，过期自动失效）、</w:t>
      </w:r>
      <w:r>
        <w:rPr>
          <w:highlight w:val="cyan"/>
          <w:highlightCs w:val="cyan"/>
          <w:bdr w:val="single" w:color="dee0e3" w:sz="4" w:space="0"/>
        </w:rPr>
        <w:t xml:space="preserve">status</w:t>
      </w:r>
      <w:r>
        <w:t xml:space="preserve">（订单状态：0 = 待成交，1 = 部分成交，2 = 已成交，3 = 已取消，4 = 已过期）、</w:t>
      </w:r>
      <w:r>
        <w:rPr>
          <w:highlight w:val="cyan"/>
          <w:highlightCs w:val="cyan"/>
          <w:bdr w:val="single" w:color="dee0e3" w:sz="4" w:space="0"/>
        </w:rPr>
        <w:t xml:space="preserve">paymentToken</w:t>
      </w:r>
      <w:r>
        <w:t xml:space="preserve">（支付代币地址，ETH 对应 0x0 地址）。</w:t>
      </w:r>
    </w:p>
    <w:p>
      <w:pPr>
        <w:pStyle w:val="text"/>
        <w:numPr>
          <w:ilvl w:val="1"/>
          <w:numId w:val="2"/>
        </w:numPr>
      </w:pPr>
      <w:r>
        <w:t xml:space="preserve">定义订单薄核心映射：</w:t>
      </w:r>
      <w:r>
        <w:rPr>
          <w:highlight w:val="cyan"/>
          <w:highlightCs w:val="cyan"/>
          <w:bdr w:val="single" w:color="dee0e3" w:sz="4" w:space="0"/>
        </w:rPr>
        <w:t xml:space="preserve">mapping(bytes32 =&gt; Order)</w:t>
      </w:r>
      <w:r>
        <w:t xml:space="preserve">（</w:t>
      </w:r>
      <w:r>
        <w:rPr>
          <w:highlight w:val="cyan"/>
          <w:highlightCs w:val="cyan"/>
          <w:bdr w:val="single" w:color="dee0e3" w:sz="4" w:space="0"/>
        </w:rPr>
        <w:t xml:space="preserve">orderId</w:t>
      </w:r>
      <w:r>
        <w:t xml:space="preserve">- 订单信息映射）、</w:t>
      </w:r>
      <w:r>
        <w:rPr>
          <w:highlight w:val="cyan"/>
          <w:highlightCs w:val="cyan"/>
          <w:bdr w:val="single" w:color="dee0e3" w:sz="4" w:space="0"/>
        </w:rPr>
        <w:t xml:space="preserve">mapping(address =&gt; mapping(uint256 =&gt; bytes32[]))</w:t>
      </w:r>
      <w:r>
        <w:t xml:space="preserve">（</w:t>
      </w:r>
      <w:r>
        <w:rPr>
          <w:highlight w:val="cyan"/>
          <w:highlightCs w:val="cyan"/>
          <w:bdr w:val="single" w:color="dee0e3" w:sz="4" w:space="0"/>
        </w:rPr>
        <w:t xml:space="preserve">nftContract</w:t>
      </w:r>
      <w:r>
        <w:t xml:space="preserve">-</w:t>
      </w:r>
      <w:r>
        <w:rPr>
          <w:highlight w:val="cyan"/>
          <w:highlightCs w:val="cyan"/>
          <w:bdr w:val="single" w:color="dee0e3" w:sz="4" w:space="0"/>
        </w:rPr>
        <w:t xml:space="preserve">tokenId</w:t>
      </w:r>
      <w:r>
        <w:t xml:space="preserve">- 订单列表映射，按买卖方向拆分）、</w:t>
      </w:r>
      <w:r>
        <w:rPr>
          <w:highlight w:val="cyan"/>
          <w:highlightCs w:val="cyan"/>
          <w:bdr w:val="single" w:color="dee0e3" w:sz="4" w:space="0"/>
        </w:rPr>
        <w:t xml:space="preserve">mapping(address =&gt; bytes32[])</w:t>
      </w:r>
      <w:r>
        <w:t xml:space="preserve">（用户地址 - 个人订单列表映射），支撑订单快速查询与管理。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限价订单创建与撮合逻辑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限价卖出订单（</w:t>
      </w:r>
      <w:r>
        <w:rPr>
          <w:highlight w:val="cyan"/>
          <w:highlightCs w:val="cyan"/>
          <w:bdr w:val="single" w:color="dee0e3" w:sz="4" w:space="0"/>
        </w:rPr>
        <w:t xml:space="preserve">createLimitSellOrder</w:t>
      </w:r>
      <w:r>
        <w:t xml:space="preserve">函数）：用户发起卖出请求时，先校验 “用户已将 NFT 授权给合约”（通过</w:t>
      </w:r>
      <w:r>
        <w:rPr>
          <w:highlight w:val="cyan"/>
          <w:highlightCs w:val="cyan"/>
          <w:bdr w:val="single" w:color="dee0e3" w:sz="4" w:space="0"/>
        </w:rPr>
        <w:t xml:space="preserve">IERC721.isApprovedForAll</w:t>
      </w:r>
      <w:r>
        <w:t xml:space="preserve">/</w:t>
      </w:r>
      <w:r>
        <w:rPr>
          <w:highlight w:val="cyan"/>
          <w:highlightCs w:val="cyan"/>
          <w:bdr w:val="single" w:color="dee0e3" w:sz="4" w:space="0"/>
        </w:rPr>
        <w:t xml:space="preserve">IERC1155.isApprovedForAll</w:t>
      </w:r>
      <w:r>
        <w:t xml:space="preserve">校验）、“订单有效期≥当前时间 + 300 秒（避免瞬时无效订单）”；校验通过后，锁定用户 NFT（ERC721 通过</w:t>
      </w:r>
      <w:r>
        <w:rPr>
          <w:highlight w:val="cyan"/>
          <w:highlightCs w:val="cyan"/>
          <w:bdr w:val="single" w:color="dee0e3" w:sz="4" w:space="0"/>
        </w:rPr>
        <w:t xml:space="preserve">safeTransferFrom</w:t>
      </w:r>
      <w:r>
        <w:t xml:space="preserve">转入合约托管地址，ERC1155 通过</w:t>
      </w:r>
      <w:r>
        <w:rPr>
          <w:highlight w:val="cyan"/>
          <w:highlightCs w:val="cyan"/>
          <w:bdr w:val="single" w:color="dee0e3" w:sz="4" w:space="0"/>
        </w:rPr>
        <w:t xml:space="preserve">safeTransferFrom</w:t>
      </w:r>
      <w:r>
        <w:t xml:space="preserve">转入合约并记录数量），生成订单并写入对应 NFT 的 “卖出订单薄”（按价格从低到高排序），同时触发</w:t>
      </w:r>
      <w:r>
        <w:rPr>
          <w:highlight w:val="cyan"/>
          <w:highlightCs w:val="cyan"/>
          <w:bdr w:val="single" w:color="dee0e3" w:sz="4" w:space="0"/>
        </w:rPr>
        <w:t xml:space="preserve">LimitSellOrderCreated</w:t>
      </w:r>
      <w:r>
        <w:t xml:space="preserve">事件。</w:t>
      </w:r>
    </w:p>
    <w:p>
      <w:pPr>
        <w:pStyle w:val="text"/>
        <w:numPr>
          <w:ilvl w:val="1"/>
          <w:numId w:val="2"/>
        </w:numPr>
      </w:pPr>
      <w:r>
        <w:t xml:space="preserve">限价买入订单（</w:t>
      </w:r>
      <w:r>
        <w:rPr>
          <w:highlight w:val="cyan"/>
          <w:highlightCs w:val="cyan"/>
          <w:bdr w:val="single" w:color="dee0e3" w:sz="4" w:space="0"/>
        </w:rPr>
        <w:t xml:space="preserve">createLimitBuyOrder</w:t>
      </w:r>
      <w:r>
        <w:t xml:space="preserve">函数）：用户发起买入请求时，校验 “支付代币余额充足”“已授权合约转账权限”；校验通过后，锁定用户支付资金（ERC20 通过</w:t>
      </w:r>
      <w:r>
        <w:rPr>
          <w:highlight w:val="cyan"/>
          <w:highlightCs w:val="cyan"/>
          <w:bdr w:val="single" w:color="dee0e3" w:sz="4" w:space="0"/>
        </w:rPr>
        <w:t xml:space="preserve">transferFrom</w:t>
      </w:r>
      <w:r>
        <w:t xml:space="preserve">转入合约托管，ETH 直接通过</w:t>
      </w:r>
      <w:r>
        <w:rPr>
          <w:highlight w:val="cyan"/>
          <w:highlightCs w:val="cyan"/>
          <w:bdr w:val="single" w:color="dee0e3" w:sz="4" w:space="0"/>
        </w:rPr>
        <w:t xml:space="preserve">msg.value</w:t>
      </w:r>
      <w:r>
        <w:t xml:space="preserve">接收），生成订单并写入对应 NFT 的 “买入订单薄”（按价格从高到低排序），同时触发</w:t>
      </w:r>
      <w:r>
        <w:rPr>
          <w:highlight w:val="cyan"/>
          <w:highlightCs w:val="cyan"/>
          <w:bdr w:val="single" w:color="dee0e3" w:sz="4" w:space="0"/>
        </w:rPr>
        <w:t xml:space="preserve">LimitBuyOrderCreated</w:t>
      </w:r>
      <w:r>
        <w:t xml:space="preserve">事件。</w:t>
      </w:r>
    </w:p>
    <w:p>
      <w:pPr>
        <w:pStyle w:val="text"/>
        <w:numPr>
          <w:ilvl w:val="1"/>
          <w:numId w:val="2"/>
        </w:numPr>
      </w:pPr>
      <w:r>
        <w:t xml:space="preserve">自动撮合逻辑：创建限价订单时，自动触发跨方向订单匹配 —— 例如创建限价卖出订单（价格 10 ETH）时，遍历对应 NFT 的买入订单薄，优先匹配价格≥10 ETH 的买入订单，按 “价格从高到低、时间从早到晚” 顺序撮合，直至订单全量成交或无匹配订单；撮合成功后，自动完成 “NFT 划转（从卖方 / 合约到买方）”“资金划转（从买方 / 合约到卖方）”，并更新双方订单的</w:t>
      </w:r>
      <w:r>
        <w:rPr>
          <w:highlight w:val="cyan"/>
          <w:highlightCs w:val="cyan"/>
          <w:bdr w:val="single" w:color="dee0e3" w:sz="4" w:space="0"/>
        </w:rPr>
        <w:t xml:space="preserve">filledAmount</w:t>
      </w:r>
      <w:r>
        <w:t xml:space="preserve">与</w:t>
      </w:r>
      <w:r>
        <w:rPr>
          <w:highlight w:val="cyan"/>
          <w:highlightCs w:val="cyan"/>
          <w:bdr w:val="single" w:color="dee0e3" w:sz="4" w:space="0"/>
        </w:rPr>
        <w:t xml:space="preserve">status</w:t>
      </w:r>
      <w:r>
        <w:t xml:space="preserve">（全量成交更新为 “已成交”，部分成交更新为 “部分成交”）。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市价订单创建与即时撮合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市价买入订单（</w:t>
      </w:r>
      <w:r>
        <w:rPr>
          <w:highlight w:val="cyan"/>
          <w:highlightCs w:val="cyan"/>
          <w:bdr w:val="single" w:color="dee0e3" w:sz="4" w:space="0"/>
        </w:rPr>
        <w:t xml:space="preserve">createMarketBuyOrder</w:t>
      </w:r>
      <w:r>
        <w:t xml:space="preserve">函数）：用户指定 “NFT 合约地址、tokenId、最高接受总价”，合约遍历对应 NFT 的卖出订单薄，按 “价格从低到高” 顺序撮合，直至达到用户指定数量或最高总价；若撮合后仍有剩余资金，自动退还用户账户，同时触发</w:t>
      </w:r>
      <w:r>
        <w:rPr>
          <w:highlight w:val="cyan"/>
          <w:highlightCs w:val="cyan"/>
          <w:bdr w:val="single" w:color="dee0e3" w:sz="4" w:space="0"/>
        </w:rPr>
        <w:t xml:space="preserve">MarketBuyOrderFilled</w:t>
      </w:r>
      <w:r>
        <w:t xml:space="preserve">事件。</w:t>
      </w:r>
    </w:p>
    <w:p>
      <w:pPr>
        <w:pStyle w:val="text"/>
        <w:numPr>
          <w:ilvl w:val="1"/>
          <w:numId w:val="2"/>
        </w:numPr>
      </w:pPr>
      <w:r>
        <w:t xml:space="preserve">市价卖出订单（</w:t>
      </w:r>
      <w:r>
        <w:rPr>
          <w:highlight w:val="cyan"/>
          <w:highlightCs w:val="cyan"/>
          <w:bdr w:val="single" w:color="dee0e3" w:sz="4" w:space="0"/>
        </w:rPr>
        <w:t xml:space="preserve">createMarketSellOrder</w:t>
      </w:r>
      <w:r>
        <w:t xml:space="preserve">函数）：用户指定 “NFT 合约地址、tokenId、卖出数量”，合约遍历对应 NFT 的买入订单薄，按 “价格从高到低” 顺序撮合，直至订单全量成交或无匹配订单；未成交 NFT 自动解锁并划转回用户地址，触发</w:t>
      </w:r>
      <w:r>
        <w:rPr>
          <w:highlight w:val="cyan"/>
          <w:highlightCs w:val="cyan"/>
          <w:bdr w:val="single" w:color="dee0e3" w:sz="4" w:space="0"/>
        </w:rPr>
        <w:t xml:space="preserve">MarketSellOrderFilled</w:t>
      </w:r>
      <w:r>
        <w:t xml:space="preserve">事件。</w:t>
      </w:r>
    </w:p>
    <w:p>
      <w:pPr>
        <w:pStyle w:val="Heading3"/>
      </w:pPr>
      <w:r>
        <w:t xml:space="preserve">2. 订单管理合约（UBOXOrderManager）—— 订单编辑与取消</w:t>
      </w:r>
    </w:p>
    <w:p>
      <w:pPr>
        <w:pStyle w:val="text"/>
      </w:pPr>
      <w:r>
        <w:t xml:space="preserve">独立封装订单编辑、取消、过期处理逻辑，确保订单状态变更的安全性与合规性：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订单编辑功能（</w:t>
      </w:r>
      <w:r>
        <w:rPr>
          <w:highlight w:val="cyan"/>
          <w:highlightCs w:val="cyan"/>
          <w:bdr w:val="single" w:color="dee0e3" w:sz="4" w:space="0"/>
        </w:rPr>
        <w:t xml:space="preserve">editOrder</w:t>
      </w:r>
      <w:r>
        <w:rPr>
          <w:b/>
          <w:bCs/>
        </w:rPr>
        <w:t xml:space="preserve">函数）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仅允许订单创建者在 “订单待成交 / 部分成交” 状态下编辑，支持修改字段：限价订单的</w:t>
      </w:r>
      <w:r>
        <w:rPr>
          <w:highlight w:val="cyan"/>
          <w:highlightCs w:val="cyan"/>
          <w:bdr w:val="single" w:color="dee0e3" w:sz="4" w:space="0"/>
        </w:rPr>
        <w:t xml:space="preserve">price</w:t>
      </w:r>
      <w:r>
        <w:t xml:space="preserve">（仅允许限价订单编辑）、</w:t>
      </w:r>
      <w:r>
        <w:rPr>
          <w:highlight w:val="cyan"/>
          <w:highlightCs w:val="cyan"/>
          <w:bdr w:val="single" w:color="dee0e3" w:sz="4" w:space="0"/>
        </w:rPr>
        <w:t xml:space="preserve">validUntil</w:t>
      </w:r>
      <w:r>
        <w:t xml:space="preserve">（所有类型订单均可延长有效期，不可缩短）；编辑时校验 “新价格符合订单薄规则”（如限价卖出订单新价格不得低于当前最低买入价，避免瞬时撮合冲突）、“新有效期≥当前时间”；校验通过后，更新订单信息并触发</w:t>
      </w:r>
      <w:r>
        <w:rPr>
          <w:highlight w:val="cyan"/>
          <w:highlightCs w:val="cyan"/>
          <w:bdr w:val="single" w:color="dee0e3" w:sz="4" w:space="0"/>
        </w:rPr>
        <w:t xml:space="preserve">OrderEdited</w:t>
      </w:r>
      <w:r>
        <w:t xml:space="preserve">事件，同时重新排序订单薄（因价格修改）。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订单取消功能（</w:t>
      </w:r>
      <w:r>
        <w:rPr>
          <w:highlight w:val="cyan"/>
          <w:highlightCs w:val="cyan"/>
          <w:bdr w:val="single" w:color="dee0e3" w:sz="4" w:space="0"/>
        </w:rPr>
        <w:t xml:space="preserve">cancelOrder</w:t>
      </w:r>
      <w:r>
        <w:rPr>
          <w:b/>
          <w:bCs/>
        </w:rPr>
        <w:t xml:space="preserve">函数）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支持订单创建者或授权地址在 “订单待成交 / 部分成交” 状态下发起取消，函数触发后：若为卖出订单，解锁未成交部分 NFT 并划转回创建者地址；若为买入订单，解锁未成交部分资金（ERC20/ETH）并划转回创建者地址；同时将订单</w:t>
      </w:r>
      <w:r>
        <w:rPr>
          <w:highlight w:val="cyan"/>
          <w:highlightCs w:val="cyan"/>
          <w:bdr w:val="single" w:color="dee0e3" w:sz="4" w:space="0"/>
        </w:rPr>
        <w:t xml:space="preserve">status</w:t>
      </w:r>
      <w:r>
        <w:t xml:space="preserve">更新为 “已取消”，从订单薄中移除该订单，触发</w:t>
      </w:r>
      <w:r>
        <w:rPr>
          <w:highlight w:val="cyan"/>
          <w:highlightCs w:val="cyan"/>
          <w:bdr w:val="single" w:color="dee0e3" w:sz="4" w:space="0"/>
        </w:rPr>
        <w:t xml:space="preserve">OrderCancelled</w:t>
      </w:r>
      <w:r>
        <w:t xml:space="preserve">事件。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过期订单自动处理（</w:t>
      </w:r>
      <w:r>
        <w:rPr>
          <w:highlight w:val="cyan"/>
          <w:highlightCs w:val="cyan"/>
          <w:bdr w:val="single" w:color="dee0e3" w:sz="4" w:space="0"/>
        </w:rPr>
        <w:t xml:space="preserve">processExpiredOrders</w:t>
      </w:r>
      <w:r>
        <w:rPr>
          <w:b/>
          <w:bCs/>
        </w:rPr>
        <w:t xml:space="preserve">函数）</w:t>
      </w:r>
      <w:r>
        <w:t xml:space="preserve">：</w:t>
      </w:r>
    </w:p>
    <w:p>
      <w:pPr>
        <w:pStyle w:val="text"/>
        <w:numPr>
          <w:ilvl w:val="1"/>
          <w:numId w:val="2"/>
        </w:numPr>
      </w:pPr>
      <w:r>
        <w:t xml:space="preserve">支持任何人调用（通过 “公益调用奖励” 激励，每次成功处理过期订单可获得 0.001 ETH 奖励），函数遍历所有待成交 / 部分成交订单，判断</w:t>
      </w:r>
      <w:r>
        <w:rPr>
          <w:highlight w:val="cyan"/>
          <w:highlightCs w:val="cyan"/>
          <w:bdr w:val="single" w:color="dee0e3" w:sz="4" w:space="0"/>
        </w:rPr>
        <w:t xml:space="preserve">block.timestamp &gt; validUntil</w:t>
      </w:r>
      <w:r>
        <w:t xml:space="preserve">时，将订单</w:t>
      </w:r>
      <w:r>
        <w:rPr>
          <w:highlight w:val="cyan"/>
          <w:highlightCs w:val="cyan"/>
          <w:bdr w:val="single" w:color="dee0e3" w:sz="4" w:space="0"/>
        </w:rPr>
        <w:t xml:space="preserve">status</w:t>
      </w:r>
      <w:r>
        <w:t xml:space="preserve">更新为 “已过期”，解锁未成交 NFT / 资金并划转回创建者地址，同时触发</w:t>
      </w:r>
      <w:r>
        <w:rPr>
          <w:highlight w:val="cyan"/>
          <w:highlightCs w:val="cyan"/>
          <w:bdr w:val="single" w:color="dee0e3" w:sz="4" w:space="0"/>
        </w:rPr>
        <w:t xml:space="preserve">OrderExpired</w:t>
      </w:r>
      <w:r>
        <w:t xml:space="preserve">事件，确保过期订单不占用订单薄资源。</w:t>
      </w:r>
    </w:p>
    <w:p>
      <w:pPr>
        <w:pStyle w:val="Heading2"/>
      </w:pPr>
      <w:r>
        <w:t xml:space="preserve">二、NFT 与资金安全管控设计</w:t>
      </w:r>
    </w:p>
    <w:p>
      <w:pPr>
        <w:pStyle w:val="text"/>
      </w:pPr>
      <w:r>
        <w:t xml:space="preserve">通过多维度安全机制，防范 NFT 盗转、资金错划、订单操纵等风险，保障用户资产安全：</w:t>
      </w:r>
    </w:p>
    <w:p>
      <w:pPr>
        <w:pStyle w:val="Heading3"/>
      </w:pPr>
      <w:r>
        <w:t xml:space="preserve">1. 资产托管与权限管控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NFT 托管安全</w:t>
      </w:r>
      <w:r>
        <w:t xml:space="preserve">：仅在订单创建时锁定 NFT，撮合成交后立即划转至买方，未成交 / 取消 / 过期订单即时解锁，避免 NFT 长期托管在合约中增加风险；采用</w:t>
      </w:r>
      <w:r>
        <w:rPr>
          <w:highlight w:val="cyan"/>
          <w:highlightCs w:val="cyan"/>
          <w:bdr w:val="single" w:color="dee0e3" w:sz="4" w:space="0"/>
        </w:rPr>
        <w:t xml:space="preserve">IERC721.safeTransferFrom</w:t>
      </w:r>
      <w:r>
        <w:t xml:space="preserve">/</w:t>
      </w:r>
      <w:r>
        <w:rPr>
          <w:highlight w:val="cyan"/>
          <w:highlightCs w:val="cyan"/>
          <w:bdr w:val="single" w:color="dee0e3" w:sz="4" w:space="0"/>
        </w:rPr>
        <w:t xml:space="preserve">IERC1155.safeTransferFrom</w:t>
      </w:r>
      <w:r>
        <w:t xml:space="preserve">函数划转 NFT，确保接收地址支持对应 NFT 标准（如 ERC721 接收需实现</w:t>
      </w:r>
      <w:r>
        <w:rPr>
          <w:highlight w:val="cyan"/>
          <w:highlightCs w:val="cyan"/>
          <w:bdr w:val="single" w:color="dee0e3" w:sz="4" w:space="0"/>
        </w:rPr>
        <w:t xml:space="preserve">onERC721Received</w:t>
      </w:r>
      <w:r>
        <w:t xml:space="preserve">接口），避免 NFT 丢失。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资金托管安全</w:t>
      </w:r>
      <w:r>
        <w:t xml:space="preserve">：买入订单资金托管在合约中，仅在撮合成功时划转给卖方，未成交 / 取消 / 过期订单即时退还用户；ETH 托管通过</w:t>
      </w:r>
      <w:r>
        <w:rPr>
          <w:highlight w:val="cyan"/>
          <w:highlightCs w:val="cyan"/>
          <w:bdr w:val="single" w:color="dee0e3" w:sz="4" w:space="0"/>
        </w:rPr>
        <w:t xml:space="preserve">payable</w:t>
      </w:r>
      <w:r>
        <w:t xml:space="preserve">函数接收，ERC20 通过</w:t>
      </w:r>
      <w:r>
        <w:rPr>
          <w:highlight w:val="cyan"/>
          <w:highlightCs w:val="cyan"/>
          <w:bdr w:val="single" w:color="dee0e3" w:sz="4" w:space="0"/>
        </w:rPr>
        <w:t xml:space="preserve">transferFrom</w:t>
      </w:r>
      <w:r>
        <w:t xml:space="preserve">授权划转，同时记录资金流向日志（</w:t>
      </w:r>
      <w:r>
        <w:rPr>
          <w:highlight w:val="cyan"/>
          <w:highlightCs w:val="cyan"/>
          <w:bdr w:val="single" w:color="dee0e3" w:sz="4" w:space="0"/>
        </w:rPr>
        <w:t xml:space="preserve">FundsDeposited</w:t>
      </w:r>
      <w:r>
        <w:t xml:space="preserve">/</w:t>
      </w:r>
      <w:r>
        <w:rPr>
          <w:highlight w:val="cyan"/>
          <w:highlightCs w:val="cyan"/>
          <w:bdr w:val="single" w:color="dee0e3" w:sz="4" w:space="0"/>
        </w:rPr>
        <w:t xml:space="preserve">FundsWithdrawn</w:t>
      </w:r>
      <w:r>
        <w:t xml:space="preserve">事件），便于追溯。</w:t>
      </w:r>
    </w:p>
    <w:p>
      <w:pPr>
        <w:pStyle w:val="Heading3"/>
      </w:pPr>
      <w:r>
        <w:t xml:space="preserve">2. 防操纵与异常处理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订单价格防操纵</w:t>
      </w:r>
      <w:r>
        <w:t xml:space="preserve">：限制限价订单价格波动范围（如单次下单价格不得高于当前市场均价的 200%、低于 50%，均价通过近 10 笔成交订单计算），避免恶意用户通过极端价格订单扰乱订单薄；市价订单设置 “最大成交滑点”（默认 5%），当实际成交均价与用户预期偏差超滑点时，自动终止撮合并退还资金 / NFT。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异常场景</w:t>
      </w:r>
      <w:r>
        <w:rPr>
          <w:highlight w:val="cyan"/>
          <w:highlightCs w:val="cyan"/>
          <w:bdr w:val="single" w:color="dee0e3" w:sz="4" w:space="0"/>
        </w:rPr>
        <w:t xml:space="preserve">try-catch</w:t>
      </w:r>
      <w:r>
        <w:rPr>
          <w:b/>
          <w:bCs/>
        </w:rPr>
        <w:t xml:space="preserve">处理</w:t>
      </w:r>
      <w:r>
        <w:t xml:space="preserve">：在 NFT 划转、资金转账等关键步骤添加</w:t>
      </w:r>
      <w:r>
        <w:rPr>
          <w:highlight w:val="cyan"/>
          <w:highlightCs w:val="cyan"/>
          <w:bdr w:val="single" w:color="dee0e3" w:sz="4" w:space="0"/>
        </w:rPr>
        <w:t xml:space="preserve">try-catch</w:t>
      </w:r>
      <w:r>
        <w:t xml:space="preserve">逻辑，例如 ERC721 划转失败（如接收地址未实现</w:t>
      </w:r>
      <w:r>
        <w:rPr>
          <w:highlight w:val="cyan"/>
          <w:highlightCs w:val="cyan"/>
          <w:bdr w:val="single" w:color="dee0e3" w:sz="4" w:space="0"/>
        </w:rPr>
        <w:t xml:space="preserve">onERC721Received</w:t>
      </w:r>
      <w:r>
        <w:t xml:space="preserve">）时，自动回滚订单创建 / 撮合流程，解锁已锁定的 NFT / 资金，同时触发</w:t>
      </w:r>
      <w:r>
        <w:rPr>
          <w:highlight w:val="cyan"/>
          <w:highlightCs w:val="cyan"/>
          <w:bdr w:val="single" w:color="dee0e3" w:sz="4" w:space="0"/>
        </w:rPr>
        <w:t xml:space="preserve">TransactionFailed</w:t>
      </w:r>
      <w:r>
        <w:t xml:space="preserve">事件并记录失败原因，便于链下排查。</w:t>
      </w:r>
    </w:p>
    <w:p>
      <w:pPr>
        <w:pStyle w:val="Heading3"/>
      </w:pPr>
      <w:r>
        <w:t xml:space="preserve">3. 权限与访问控制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核心功能权限限制</w:t>
      </w:r>
      <w:r>
        <w:t xml:space="preserve">：集成 OpenZeppelin </w:t>
      </w:r>
      <w:r>
        <w:rPr>
          <w:highlight w:val="cyan"/>
          <w:highlightCs w:val="cyan"/>
          <w:bdr w:val="single" w:color="dee0e3" w:sz="4" w:space="0"/>
        </w:rPr>
        <w:t xml:space="preserve">Ownable2Step</w:t>
      </w:r>
      <w:r>
        <w:t xml:space="preserve">合约，仅管理员可更新 “最大滑点”“价格波动范围”“公益调用奖励” 等系统参数；定义</w:t>
      </w:r>
      <w:r>
        <w:rPr>
          <w:highlight w:val="cyan"/>
          <w:highlightCs w:val="cyan"/>
          <w:bdr w:val="single" w:color="dee0e3" w:sz="4" w:space="0"/>
        </w:rPr>
        <w:t xml:space="preserve">onlyOrderCreator</w:t>
      </w:r>
      <w:r>
        <w:t xml:space="preserve">修饰符，限制订单编辑、取消仅订单创建者可操作，避免越权操作。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紧急暂停机制</w:t>
      </w:r>
      <w:r>
        <w:t xml:space="preserve">：集成 OpenZeppelin </w:t>
      </w:r>
      <w:r>
        <w:rPr>
          <w:highlight w:val="cyan"/>
          <w:highlightCs w:val="cyan"/>
          <w:bdr w:val="single" w:color="dee0e3" w:sz="4" w:space="0"/>
        </w:rPr>
        <w:t xml:space="preserve">Pausable</w:t>
      </w:r>
      <w:r>
        <w:t xml:space="preserve">合约，当检测到订单操纵、合约漏洞等风险时，管理员可调用</w:t>
      </w:r>
      <w:r>
        <w:rPr>
          <w:highlight w:val="cyan"/>
          <w:highlightCs w:val="cyan"/>
          <w:bdr w:val="single" w:color="dee0e3" w:sz="4" w:space="0"/>
        </w:rPr>
        <w:t xml:space="preserve">pause()</w:t>
      </w:r>
      <w:r>
        <w:t xml:space="preserve">暂停订单创建、撮合、编辑等核心功能，仅保留订单查询、过期处理功能；风险解除后通过</w:t>
      </w:r>
      <w:r>
        <w:rPr>
          <w:highlight w:val="cyan"/>
          <w:highlightCs w:val="cyan"/>
          <w:bdr w:val="single" w:color="dee0e3" w:sz="4" w:space="0"/>
        </w:rPr>
        <w:t xml:space="preserve">unpause()</w:t>
      </w:r>
      <w:r>
        <w:t xml:space="preserve">恢复，保障极端场景下用户资产安全。</w:t>
      </w:r>
    </w:p>
    <w:p>
      <w:pPr>
        <w:pStyle w:val="Heading2"/>
      </w:pPr>
      <w:r>
        <w:t xml:space="preserve">三、链上订单查询与事件设计</w:t>
      </w:r>
    </w:p>
    <w:p>
      <w:pPr>
        <w:pStyle w:val="text"/>
      </w:pPr>
      <w:r>
        <w:t xml:space="preserve">规范链上订单查询接口与事件输出，支撑前端与链下系统的数据交互需求：</w:t>
      </w:r>
    </w:p>
    <w:p>
      <w:pPr>
        <w:pStyle w:val="Heading3"/>
      </w:pPr>
      <w:r>
        <w:t xml:space="preserve">1. 订单查询接口开发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单订单详情查询（</w:t>
      </w:r>
      <w:r>
        <w:rPr>
          <w:highlight w:val="cyan"/>
          <w:highlightCs w:val="cyan"/>
          <w:bdr w:val="single" w:color="dee0e3" w:sz="4" w:space="0"/>
        </w:rPr>
        <w:t xml:space="preserve">getOrderDetail(bytes32 orderId) external view returns (Order memory)</w:t>
      </w:r>
      <w:r>
        <w:rPr>
          <w:b/>
          <w:bCs/>
        </w:rPr>
        <w:t xml:space="preserve">）</w:t>
      </w:r>
      <w:r>
        <w:t xml:space="preserve">：用户输入</w:t>
      </w:r>
      <w:r>
        <w:rPr>
          <w:highlight w:val="cyan"/>
          <w:highlightCs w:val="cyan"/>
          <w:bdr w:val="single" w:color="dee0e3" w:sz="4" w:space="0"/>
        </w:rPr>
        <w:t xml:space="preserve">orderId</w:t>
      </w:r>
      <w:r>
        <w:t xml:space="preserve">即可获取完整订单信息（含</w:t>
      </w:r>
      <w:r>
        <w:rPr>
          <w:highlight w:val="cyan"/>
          <w:highlightCs w:val="cyan"/>
          <w:bdr w:val="single" w:color="dee0e3" w:sz="4" w:space="0"/>
        </w:rPr>
        <w:t xml:space="preserve">status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filledAmount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validUntil</w:t>
      </w:r>
      <w:r>
        <w:t xml:space="preserve">等），接口直接读取</w:t>
      </w:r>
      <w:r>
        <w:rPr>
          <w:highlight w:val="cyan"/>
          <w:highlightCs w:val="cyan"/>
          <w:bdr w:val="single" w:color="dee0e3" w:sz="4" w:space="0"/>
        </w:rPr>
        <w:t xml:space="preserve">orderId-Order</w:t>
      </w:r>
      <w:r>
        <w:t xml:space="preserve">映射数据，响应高效，支持前端展示单个订单的全生命周期状态。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用户订单列表查询（</w:t>
      </w:r>
      <w:r>
        <w:rPr>
          <w:highlight w:val="cyan"/>
          <w:highlightCs w:val="cyan"/>
          <w:bdr w:val="single" w:color="dee0e3" w:sz="4" w:space="0"/>
        </w:rPr>
        <w:t xml:space="preserve">getUserOrders(address user, uint256 orderStatus) external view returns (Order[] memory)</w:t>
      </w:r>
      <w:r>
        <w:rPr>
          <w:b/>
          <w:bCs/>
        </w:rPr>
        <w:t xml:space="preserve">）</w:t>
      </w:r>
      <w:r>
        <w:t xml:space="preserve">：按 “用户地址 + 订单状态” 筛选订单，遍历</w:t>
      </w:r>
      <w:r>
        <w:rPr>
          <w:highlight w:val="cyan"/>
          <w:highlightCs w:val="cyan"/>
          <w:bdr w:val="single" w:color="dee0e3" w:sz="4" w:space="0"/>
        </w:rPr>
        <w:t xml:space="preserve">user-订单列表</w:t>
      </w:r>
      <w:r>
        <w:t xml:space="preserve">映射，过滤出符合</w:t>
      </w:r>
      <w:r>
        <w:rPr>
          <w:highlight w:val="cyan"/>
          <w:highlightCs w:val="cyan"/>
          <w:bdr w:val="single" w:color="dee0e3" w:sz="4" w:space="0"/>
        </w:rPr>
        <w:t xml:space="preserve">orderStatus</w:t>
      </w:r>
      <w:r>
        <w:t xml:space="preserve">（待成交 / 已成交 / 已取消 / 已过期）的订单并返回，支持用户查询个人历史订单。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NFT 订单薄查询（</w:t>
      </w:r>
      <w:r>
        <w:rPr>
          <w:highlight w:val="cyan"/>
          <w:highlightCs w:val="cyan"/>
          <w:bdr w:val="single" w:color="dee0e3" w:sz="4" w:space="0"/>
        </w:rPr>
        <w:t xml:space="preserve">getNFTOrderBook(address nftContract, uint256 tokenId, uint256 orderSide, uint256 limit) external view returns (Order[] memory)</w:t>
      </w:r>
      <w:r>
        <w:rPr>
          <w:b/>
          <w:bCs/>
        </w:rPr>
        <w:t xml:space="preserve">）</w:t>
      </w:r>
      <w:r>
        <w:t xml:space="preserve">：按 “NFT 合约地址 + tokenId + 买卖方向” 查询订单薄，</w:t>
      </w:r>
      <w:r>
        <w:rPr>
          <w:highlight w:val="cyan"/>
          <w:highlightCs w:val="cyan"/>
          <w:bdr w:val="single" w:color="dee0e3" w:sz="4" w:space="0"/>
        </w:rPr>
        <w:t xml:space="preserve">orderSide</w:t>
      </w:r>
      <w:r>
        <w:t xml:space="preserve">=0 返回买入订单（按价格从高到低排序），</w:t>
      </w:r>
      <w:r>
        <w:rPr>
          <w:highlight w:val="cyan"/>
          <w:highlightCs w:val="cyan"/>
          <w:bdr w:val="single" w:color="dee0e3" w:sz="4" w:space="0"/>
        </w:rPr>
        <w:t xml:space="preserve">orderSide</w:t>
      </w:r>
      <w:r>
        <w:t xml:space="preserve">=1 返回卖出订单（按价格从低到高排序），</w:t>
      </w:r>
      <w:r>
        <w:rPr>
          <w:highlight w:val="cyan"/>
          <w:highlightCs w:val="cyan"/>
          <w:bdr w:val="single" w:color="dee0e3" w:sz="4" w:space="0"/>
        </w:rPr>
        <w:t xml:space="preserve">limit</w:t>
      </w:r>
      <w:r>
        <w:t xml:space="preserve">限制返回订单数量（默认 50 条），支撑前端订单薄实时展示。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过期订单专项查询（</w:t>
      </w:r>
      <w:r>
        <w:rPr>
          <w:highlight w:val="cyan"/>
          <w:highlightCs w:val="cyan"/>
          <w:bdr w:val="single" w:color="dee0e3" w:sz="4" w:space="0"/>
        </w:rPr>
        <w:t xml:space="preserve">getExpiredOrders(address user, uint256 startTime, uint256 endTime) external view returns (Order[] memory)</w:t>
      </w:r>
      <w:r>
        <w:rPr>
          <w:b/>
          <w:bCs/>
        </w:rPr>
        <w:t xml:space="preserve">）</w:t>
      </w:r>
      <w:r>
        <w:t xml:space="preserve">：按 “用户地址 + 时间范围” 筛选过期订单，通过</w:t>
      </w:r>
      <w:r>
        <w:rPr>
          <w:highlight w:val="cyan"/>
          <w:highlightCs w:val="cyan"/>
          <w:bdr w:val="single" w:color="dee0e3" w:sz="4" w:space="0"/>
        </w:rPr>
        <w:t xml:space="preserve">validUntil</w:t>
      </w:r>
      <w:r>
        <w:t xml:space="preserve">与</w:t>
      </w:r>
      <w:r>
        <w:rPr>
          <w:highlight w:val="cyan"/>
          <w:highlightCs w:val="cyan"/>
          <w:bdr w:val="single" w:color="dee0e3" w:sz="4" w:space="0"/>
        </w:rPr>
        <w:t xml:space="preserve">startTime</w:t>
      </w:r>
      <w:r>
        <w:t xml:space="preserve">/</w:t>
      </w:r>
      <w:r>
        <w:rPr>
          <w:highlight w:val="cyan"/>
          <w:highlightCs w:val="cyan"/>
          <w:bdr w:val="single" w:color="dee0e3" w:sz="4" w:space="0"/>
        </w:rPr>
        <w:t xml:space="preserve">endTime</w:t>
      </w:r>
      <w:r>
        <w:t xml:space="preserve">对比，返回指定时间段内的过期订单，解决用户历史过期订单查询需求。</w:t>
      </w:r>
    </w:p>
    <w:p>
      <w:pPr>
        <w:pStyle w:val="Heading3"/>
      </w:pPr>
      <w:r>
        <w:t xml:space="preserve">2. 标准化事件设计</w:t>
      </w:r>
    </w:p>
    <w:p>
      <w:pPr>
        <w:pStyle w:val="text"/>
      </w:pPr>
      <w:r>
        <w:t xml:space="preserve">为每个核心操作定义清晰事件，便于链下系统（如 GO 中间层、前端）监听与数据同步，关键事件包括：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订单操作事件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LimitBuyOrderCreated(bytes32 indexed orderId, address indexed creator, address nftContract, uint256 tokenId, uint256 price)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LimitSellOrderCreated(bytes32 indexed orderId, address indexed creator, address nftContract, uint256 tokenId, uint256 price)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OrderFilled(bytes32 indexed orderId, address indexed buyer, address indexed seller, uint256 filledAmount)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OrderCancelled(bytes32 indexed orderId, address indexed creator)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OrderExpired(bytes32 indexed orderId)</w:t>
      </w:r>
      <w:r>
        <w:t xml:space="preserve">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资产操作事件</w:t>
      </w:r>
      <w:r>
        <w:t xml:space="preserve">：</w:t>
      </w:r>
      <w:r>
        <w:rPr>
          <w:highlight w:val="cyan"/>
          <w:highlightCs w:val="cyan"/>
          <w:bdr w:val="single" w:color="dee0e3" w:sz="4" w:space="0"/>
        </w:rPr>
        <w:t xml:space="preserve">NFTDeposited(address indexed depositor, address nftContract, uint256 tokenId, uint256 amount)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NFTWithdrawn(address indexed withdrawer, address nftContract, uint256 tokenId, uint256 amount)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FundsDeposited(address indexed depositor, address paymentToken, uint256 amount)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FundsWithdrawn(address indexed withdrawer, address paymentToken, uint256 amount)</w:t>
      </w:r>
      <w:r>
        <w:t xml:space="preserve">。</w:t>
      </w:r>
    </w:p>
    <w:p>
      <w:pPr>
        <w:pStyle w:val="text"/>
        <w:numPr>
          <w:ilvl w:val="0"/>
          <w:numId w:val="2"/>
        </w:numPr>
      </w:pPr>
      <w:r>
        <w:t xml:space="preserve">事件中</w:t>
      </w:r>
      <w:r>
        <w:rPr>
          <w:highlight w:val="cyan"/>
          <w:highlightCs w:val="cyan"/>
          <w:bdr w:val="single" w:color="dee0e3" w:sz="4" w:space="0"/>
        </w:rPr>
        <w:t xml:space="preserve">indexed</w:t>
      </w:r>
      <w:r>
        <w:t xml:space="preserve">标记核心字段（</w:t>
      </w:r>
      <w:r>
        <w:rPr>
          <w:highlight w:val="cyan"/>
          <w:highlightCs w:val="cyan"/>
          <w:bdr w:val="single" w:color="dee0e3" w:sz="4" w:space="0"/>
        </w:rPr>
        <w:t xml:space="preserve">orderId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creator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nftContract</w:t>
      </w:r>
      <w:r>
        <w:t xml:space="preserve">等），支持链下系统通过事件日志高效筛选特定数据（如查询某 NFT 的所有卖出订单事件），降低链上查询压力。</w:t>
      </w:r>
    </w:p>
    <w:p>
      <w:pPr>
        <w:pStyle w:val="Heading2"/>
      </w:pPr>
      <w:r>
        <w:t xml:space="preserve">四、NFT 兼容性与扩展设计</w:t>
      </w:r>
    </w:p>
    <w:p>
      <w:pPr>
        <w:pStyle w:val="text"/>
      </w:pPr>
      <w:r>
        <w:t xml:space="preserve">适配主流 NFT 标准，预留功能扩展接口，确保平台兼容性与可扩展性：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多 NFT 标准支持</w:t>
      </w:r>
      <w:r>
        <w:t xml:space="preserve">：兼容 ERC721（单 token）与 ERC1155（多数量 token）标准，在</w:t>
      </w:r>
      <w:r>
        <w:rPr>
          <w:highlight w:val="cyan"/>
          <w:highlightCs w:val="cyan"/>
          <w:bdr w:val="single" w:color="dee0e3" w:sz="4" w:space="0"/>
        </w:rPr>
        <w:t xml:space="preserve">Order</w:t>
      </w:r>
      <w:r>
        <w:t xml:space="preserve">结构体中通过</w:t>
      </w:r>
      <w:r>
        <w:rPr>
          <w:highlight w:val="cyan"/>
          <w:highlightCs w:val="cyan"/>
          <w:bdr w:val="single" w:color="dee0e3" w:sz="4" w:space="0"/>
        </w:rPr>
        <w:t xml:space="preserve">amount</w:t>
      </w:r>
      <w:r>
        <w:t xml:space="preserve">字段区分，在 NFT 划转函数中添加标准判断逻辑（</w:t>
      </w:r>
      <w:r>
        <w:rPr>
          <w:highlight w:val="cyan"/>
          <w:highlightCs w:val="cyan"/>
          <w:bdr w:val="single" w:color="dee0e3" w:sz="4" w:space="0"/>
        </w:rPr>
        <w:t xml:space="preserve">isERC721</w:t>
      </w:r>
      <w:r>
        <w:t xml:space="preserve">/</w:t>
      </w:r>
      <w:r>
        <w:rPr>
          <w:highlight w:val="cyan"/>
          <w:highlightCs w:val="cyan"/>
          <w:bdr w:val="single" w:color="dee0e3" w:sz="4" w:space="0"/>
        </w:rPr>
        <w:t xml:space="preserve">isERC1155</w:t>
      </w:r>
      <w:r>
        <w:t xml:space="preserve">），调用对应标准的转账接口，满足不同类型 NFT 的交易需求。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功能扩展接口预留</w:t>
      </w:r>
      <w:r>
        <w:t xml:space="preserve">：预留 “订单撮合手续费设置”（</w:t>
      </w:r>
      <w:r>
        <w:rPr>
          <w:highlight w:val="cyan"/>
          <w:highlightCs w:val="cyan"/>
          <w:bdr w:val="single" w:color="dee0e3" w:sz="4" w:space="0"/>
        </w:rPr>
        <w:t xml:space="preserve">setTradingFee</w:t>
      </w:r>
      <w:r>
        <w:t xml:space="preserve">）、“支持新支付代币”（</w:t>
      </w:r>
      <w:r>
        <w:rPr>
          <w:highlight w:val="cyan"/>
          <w:highlightCs w:val="cyan"/>
          <w:bdr w:val="single" w:color="dee0e3" w:sz="4" w:space="0"/>
        </w:rPr>
        <w:t xml:space="preserve">addPaymentToken</w:t>
      </w:r>
      <w:r>
        <w:t xml:space="preserve">）、“第三方订单聚合”（</w:t>
      </w:r>
      <w:r>
        <w:rPr>
          <w:highlight w:val="cyan"/>
          <w:highlightCs w:val="cyan"/>
          <w:bdr w:val="single" w:color="dee0e3" w:sz="4" w:space="0"/>
        </w:rPr>
        <w:t xml:space="preserve">importExternalOrder</w:t>
      </w:r>
      <w:r>
        <w:t xml:space="preserve">）等接口，通过管理员权限控制，便于后续功能迭代，无需重构核心合约。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跨合约交互规范</w:t>
      </w:r>
      <w:r>
        <w:t xml:space="preserve">：定义</w:t>
      </w:r>
      <w:r>
        <w:rPr>
          <w:highlight w:val="cyan"/>
          <w:highlightCs w:val="cyan"/>
          <w:bdr w:val="single" w:color="dee0e3" w:sz="4" w:space="0"/>
        </w:rPr>
        <w:t xml:space="preserve">IUBOXNFTTrading</w:t>
      </w:r>
      <w:r>
        <w:t xml:space="preserve">接口，统一主交易合约对外暴露的功能（如</w:t>
      </w:r>
      <w:r>
        <w:rPr>
          <w:highlight w:val="cyan"/>
          <w:highlightCs w:val="cyan"/>
          <w:bdr w:val="single" w:color="dee0e3" w:sz="4" w:space="0"/>
        </w:rPr>
        <w:t xml:space="preserve">createLimitOrder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cancelOrder</w:t>
      </w:r>
      <w:r>
        <w:t xml:space="preserve">、</w:t>
      </w:r>
      <w:r>
        <w:rPr>
          <w:highlight w:val="cyan"/>
          <w:highlightCs w:val="cyan"/>
          <w:bdr w:val="single" w:color="dee0e3" w:sz="4" w:space="0"/>
        </w:rPr>
        <w:t xml:space="preserve">getOrderDetail</w:t>
      </w:r>
      <w:r>
        <w:t xml:space="preserve">），其他合约（如平台手续费合约、用户积分合约）通过接口调用，避免直接依赖，降低耦合度。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2025-09-22T13:39:26.949Z</dcterms:created>
  <dcterms:modified xsi:type="dcterms:W3CDTF">2025-09-22T13:39:26.949Z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