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340"/>
      </w:tblGrid>
      <w:tr>
        <w:trPr>
          <w:cantSplit/>
        </w:trP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5" w:val="clear"/>
          </w:tcPr>
          <w:p>
            <w:r>
              <w:t xml:space="preserve"/>
            </w:r>
          </w:p>
        </w:tc>
        <w:tc>
          <w:tcPr>
            <w:tcW w:type="dxa" w:w="9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70"/>
              <w:left w:type="dxa" w:w="180"/>
              <w:bottom w:type="dxa" w:w="7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aps/>
                <w:color w:val="0D2B45"/>
                <w:sz w:val="18"/>
                <w:szCs w:val="18"/>
              </w:rPr>
              <w:t xml:space="preserve">1.  Identification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60"/>
      </w:tblGrid>
      <w:tr>
        <w:trPr>
          <w:cantSplit/>
        </w:trP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45"/>
                <w:sz w:val="17"/>
                <w:szCs w:val="17"/>
              </w:rPr>
              <w:t xml:space="preserve">Dénomination</w:t>
            </w:r>
          </w:p>
        </w:tc>
        <w:tc>
          <w:tcPr>
            <w:tcW w:type="dxa" w:w="6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2B3A"/>
                <w:sz w:val="17"/>
                <w:szCs w:val="17"/>
              </w:rPr>
              <w:t xml:space="preserve">2C Démarches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6FB" w:val="clear"/>
            <w:tcMar>
              <w:top w:type="dxa" w:w="55"/>
              <w:left w:type="dxa" w:w="14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45"/>
                <w:sz w:val="17"/>
                <w:szCs w:val="17"/>
              </w:rPr>
              <w:t xml:space="preserve">Adresse</w:t>
            </w:r>
          </w:p>
        </w:tc>
        <w:tc>
          <w:tcPr>
            <w:tcW w:type="dxa" w:w="6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6FB" w:val="clear"/>
            <w:tcMar>
              <w:top w:type="dxa" w:w="55"/>
              <w:left w:type="dxa" w:w="14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2B3A"/>
                <w:sz w:val="17"/>
                <w:szCs w:val="17"/>
              </w:rPr>
              <w:t xml:space="preserve">84 Avenue de la République, 94300 Vincennes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45"/>
                <w:sz w:val="17"/>
                <w:szCs w:val="17"/>
              </w:rPr>
              <w:t xml:space="preserve">Forme juridique</w:t>
            </w:r>
          </w:p>
        </w:tc>
        <w:tc>
          <w:tcPr>
            <w:tcW w:type="dxa" w:w="6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2B3A"/>
                <w:sz w:val="17"/>
                <w:szCs w:val="17"/>
              </w:rPr>
              <w:t xml:space="preserve">Société par Actions Simplifiée (SAS)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6FB" w:val="clear"/>
            <w:tcMar>
              <w:top w:type="dxa" w:w="55"/>
              <w:left w:type="dxa" w:w="14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45"/>
                <w:sz w:val="17"/>
                <w:szCs w:val="17"/>
              </w:rPr>
              <w:t xml:space="preserve">Taille</w:t>
            </w:r>
          </w:p>
        </w:tc>
        <w:tc>
          <w:tcPr>
            <w:tcW w:type="dxa" w:w="6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6FB" w:val="clear"/>
            <w:tcMar>
              <w:top w:type="dxa" w:w="55"/>
              <w:left w:type="dxa" w:w="14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2B3A"/>
                <w:sz w:val="17"/>
                <w:szCs w:val="17"/>
              </w:rPr>
              <w:t xml:space="preserve">PME privée à but lucratif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45"/>
                <w:sz w:val="17"/>
                <w:szCs w:val="17"/>
              </w:rPr>
              <w:t xml:space="preserve">Effectif</w:t>
            </w:r>
          </w:p>
        </w:tc>
        <w:tc>
          <w:tcPr>
            <w:tcW w:type="dxa" w:w="6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2B3A"/>
                <w:sz w:val="17"/>
                <w:szCs w:val="17"/>
              </w:rPr>
              <w:t xml:space="preserve">10 salariés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6FB" w:val="clear"/>
            <w:tcMar>
              <w:top w:type="dxa" w:w="55"/>
              <w:left w:type="dxa" w:w="14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45"/>
                <w:sz w:val="17"/>
                <w:szCs w:val="17"/>
              </w:rPr>
              <w:t xml:space="preserve">Secteur</w:t>
            </w:r>
          </w:p>
        </w:tc>
        <w:tc>
          <w:tcPr>
            <w:tcW w:type="dxa" w:w="6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6FB" w:val="clear"/>
            <w:tcMar>
              <w:top w:type="dxa" w:w="55"/>
              <w:left w:type="dxa" w:w="14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2B3A"/>
                <w:sz w:val="17"/>
                <w:szCs w:val="17"/>
              </w:rPr>
              <w:t xml:space="preserve">Démarches administratives &amp; accompagnement (particuliers / professionnels)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45"/>
                <w:sz w:val="17"/>
                <w:szCs w:val="17"/>
              </w:rPr>
              <w:t xml:space="preserve">Capital social</w:t>
            </w:r>
          </w:p>
        </w:tc>
        <w:tc>
          <w:tcPr>
            <w:tcW w:type="dxa" w:w="6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2B3A"/>
                <w:sz w:val="17"/>
                <w:szCs w:val="17"/>
              </w:rPr>
              <w:t xml:space="preserve">1 000 €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340"/>
      </w:tblGrid>
      <w:tr>
        <w:trPr>
          <w:cantSplit/>
        </w:trP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5" w:val="clear"/>
          </w:tcPr>
          <w:p>
            <w:r>
              <w:t xml:space="preserve"/>
            </w:r>
          </w:p>
        </w:tc>
        <w:tc>
          <w:tcPr>
            <w:tcW w:type="dxa" w:w="9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70"/>
              <w:left w:type="dxa" w:w="180"/>
              <w:bottom w:type="dxa" w:w="7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aps/>
                <w:color w:val="0D2B45"/>
                <w:sz w:val="18"/>
                <w:szCs w:val="18"/>
              </w:rPr>
              <w:t xml:space="preserve">2.  Historique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660"/>
      </w:tblGrid>
      <w:tr>
        <w:trPr>
          <w:cantSplit/>
        </w:trP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0D2B45" w:val="clear"/>
            <w:tcMar>
              <w:top w:type="dxa" w:w="55"/>
              <w:left w:type="dxa" w:w="14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Fin 2022</w:t>
            </w:r>
          </w:p>
        </w:tc>
        <w:tc>
          <w:tcPr>
            <w:tcW w:type="dxa" w:w="7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6FB" w:val="clear"/>
            <w:tcMar>
              <w:top w:type="dxa" w:w="55"/>
              <w:left w:type="dxa" w:w="14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2B3A"/>
                <w:sz w:val="17"/>
                <w:szCs w:val="17"/>
              </w:rPr>
              <w:t xml:space="preserve">Identification de l'opportunité et étude de marché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6CA8" w:val="clear"/>
            <w:tcMar>
              <w:top w:type="dxa" w:w="55"/>
              <w:left w:type="dxa" w:w="14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15 nov. 2022</w:t>
            </w:r>
          </w:p>
        </w:tc>
        <w:tc>
          <w:tcPr>
            <w:tcW w:type="dxa" w:w="7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2B3A"/>
                <w:sz w:val="17"/>
                <w:szCs w:val="17"/>
              </w:rPr>
              <w:t xml:space="preserve">Immatriculation officielle en SAS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0D2B45" w:val="clear"/>
            <w:tcMar>
              <w:top w:type="dxa" w:w="55"/>
              <w:left w:type="dxa" w:w="14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2023</w:t>
            </w:r>
          </w:p>
        </w:tc>
        <w:tc>
          <w:tcPr>
            <w:tcW w:type="dxa" w:w="7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6FB" w:val="clear"/>
            <w:tcMar>
              <w:top w:type="dxa" w:w="55"/>
              <w:left w:type="dxa" w:w="14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2B3A"/>
                <w:sz w:val="17"/>
                <w:szCs w:val="17"/>
              </w:rPr>
              <w:t xml:space="preserve">Déploiement CRM, mise en conformité RGPD, structuration interne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6CA8" w:val="clear"/>
            <w:tcMar>
              <w:top w:type="dxa" w:w="55"/>
              <w:left w:type="dxa" w:w="14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2024</w:t>
            </w:r>
          </w:p>
        </w:tc>
        <w:tc>
          <w:tcPr>
            <w:tcW w:type="dxa" w:w="7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2B3A"/>
                <w:sz w:val="17"/>
                <w:szCs w:val="17"/>
              </w:rPr>
              <w:t xml:space="preserve">6 500 clients · CA prévisionnel 100 000 € · 10 salariés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340"/>
      </w:tblGrid>
      <w:tr>
        <w:trPr>
          <w:cantSplit/>
        </w:trP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5" w:val="clear"/>
          </w:tcPr>
          <w:p>
            <w:r>
              <w:t xml:space="preserve"/>
            </w:r>
          </w:p>
        </w:tc>
        <w:tc>
          <w:tcPr>
            <w:tcW w:type="dxa" w:w="9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70"/>
              <w:left w:type="dxa" w:w="180"/>
              <w:bottom w:type="dxa" w:w="7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aps/>
                <w:color w:val="0D2B45"/>
                <w:sz w:val="18"/>
                <w:szCs w:val="18"/>
              </w:rPr>
              <w:t xml:space="preserve">3.  RGPD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3"/>
        <w:gridCol w:w="3153"/>
        <w:gridCol w:w="3154"/>
      </w:tblGrid>
      <w:tr>
        <w:trPr>
          <w:cantSplit/>
        </w:trPr>
        <w:tc>
          <w:tcPr>
            <w:tcW w:type="dxa" w:w="3153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D2B45"/>
                <w:sz w:val="17"/>
                <w:szCs w:val="17"/>
              </w:rPr>
              <w:t xml:space="preserve">Centralisation</w:t>
            </w:r>
          </w:p>
          <w:p>
            <w:r>
              <w:rPr>
                <w:rFonts w:ascii="Calibri" w:cs="Calibri" w:eastAsia="Calibri" w:hAnsi="Calibri"/>
                <w:color w:val="4A6278"/>
                <w:sz w:val="16"/>
                <w:szCs w:val="16"/>
              </w:rPr>
              <w:t xml:space="preserve">Données clients centralisées dans un CRM conforme RGPD</w:t>
            </w:r>
          </w:p>
        </w:tc>
        <w:tc>
          <w:tcPr>
            <w:tcW w:type="dxa" w:w="3153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D2B45"/>
                <w:sz w:val="17"/>
                <w:szCs w:val="17"/>
              </w:rPr>
              <w:t xml:space="preserve">Accès restreint</w:t>
            </w:r>
          </w:p>
          <w:p>
            <w:r>
              <w:rPr>
                <w:rFonts w:ascii="Calibri" w:cs="Calibri" w:eastAsia="Calibri" w:hAnsi="Calibri"/>
                <w:color w:val="4A6278"/>
                <w:sz w:val="16"/>
                <w:szCs w:val="16"/>
              </w:rPr>
              <w:t xml:space="preserve">Accès limité aux seuls collaborateurs habilités</w:t>
            </w:r>
          </w:p>
        </w:tc>
        <w:tc>
          <w:tcPr>
            <w:tcW w:type="dxa" w:w="3153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6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D2B45"/>
                <w:sz w:val="17"/>
                <w:szCs w:val="17"/>
              </w:rPr>
              <w:t xml:space="preserve">Transparence</w:t>
            </w:r>
          </w:p>
          <w:p>
            <w:r>
              <w:rPr>
                <w:rFonts w:ascii="Calibri" w:cs="Calibri" w:eastAsia="Calibri" w:hAnsi="Calibri"/>
                <w:color w:val="4A6278"/>
                <w:sz w:val="16"/>
                <w:szCs w:val="16"/>
              </w:rPr>
              <w:t xml:space="preserve">Clients informés de leurs droits · conformité continue depuis 2018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340"/>
      </w:tblGrid>
      <w:tr>
        <w:trPr>
          <w:cantSplit/>
        </w:trP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5" w:val="clear"/>
          </w:tcPr>
          <w:p>
            <w:r>
              <w:t xml:space="preserve"/>
            </w:r>
          </w:p>
        </w:tc>
        <w:tc>
          <w:tcPr>
            <w:tcW w:type="dxa" w:w="9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70"/>
              <w:left w:type="dxa" w:w="180"/>
              <w:bottom w:type="dxa" w:w="7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aps/>
                <w:color w:val="0D2B45"/>
                <w:sz w:val="18"/>
                <w:szCs w:val="18"/>
              </w:rPr>
              <w:t xml:space="preserve">4.  Orientations Stratégiques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60"/>
      </w:tblGrid>
      <w:tr>
        <w:trPr>
          <w:cantSplit/>
        </w:trPr>
        <w:tc>
          <w:tcPr>
            <w:tcW w:type="dxa" w:w="2800"/>
            <w:tcBorders>
              <w:top w:val="single" w:color="BDD7EE" w:sz="1"/>
              <w:left w:val="single" w:color="1B6CA8" w:sz="6"/>
              <w:bottom w:val="single" w:color="BDD7EE" w:sz="1"/>
              <w:right w:val="single" w:color="BDD7EE" w:sz="1"/>
            </w:tcBorders>
            <w:shd w:fill="EEF6F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45"/>
                <w:sz w:val="17"/>
                <w:szCs w:val="17"/>
              </w:rPr>
              <w:t xml:space="preserve">Croissance clients</w:t>
            </w:r>
          </w:p>
        </w:tc>
        <w:tc>
          <w:tcPr>
            <w:tcW w:type="dxa" w:w="6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6FB" w:val="clear"/>
            <w:tcMar>
              <w:top w:type="dxa" w:w="55"/>
              <w:left w:type="dxa" w:w="14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2B3A"/>
                <w:sz w:val="17"/>
                <w:szCs w:val="17"/>
              </w:rPr>
              <w:t xml:space="preserve">Conquête de nouveaux clients par une offre compétitive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D7EE" w:sz="1"/>
              <w:left w:val="single" w:color="1B6CA8" w:sz="6"/>
              <w:bottom w:val="single" w:color="BDD7EE" w:sz="1"/>
              <w:right w:val="single" w:color="BDD7EE" w:sz="1"/>
            </w:tcBorders>
            <w:shd w:fill="FFFFFF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45"/>
                <w:sz w:val="17"/>
                <w:szCs w:val="17"/>
              </w:rPr>
              <w:t xml:space="preserve">Innovation &amp; automatisation</w:t>
            </w:r>
          </w:p>
        </w:tc>
        <w:tc>
          <w:tcPr>
            <w:tcW w:type="dxa" w:w="6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55"/>
              <w:left w:type="dxa" w:w="14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2B3A"/>
                <w:sz w:val="17"/>
                <w:szCs w:val="17"/>
              </w:rPr>
              <w:t xml:space="preserve">Outils numériques pour optimiser les processus internes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DD7EE" w:sz="1"/>
              <w:left w:val="single" w:color="1B6CA8" w:sz="6"/>
              <w:bottom w:val="single" w:color="BDD7EE" w:sz="1"/>
              <w:right w:val="single" w:color="BDD7EE" w:sz="1"/>
            </w:tcBorders>
            <w:shd w:fill="EEF6FB" w:val="clear"/>
            <w:tcMar>
              <w:top w:type="dxa" w:w="55"/>
              <w:left w:type="dxa" w:w="16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45"/>
                <w:sz w:val="17"/>
                <w:szCs w:val="17"/>
              </w:rPr>
              <w:t xml:space="preserve">Veille réglementaire</w:t>
            </w:r>
          </w:p>
        </w:tc>
        <w:tc>
          <w:tcPr>
            <w:tcW w:type="dxa" w:w="66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EF6FB" w:val="clear"/>
            <w:tcMar>
              <w:top w:type="dxa" w:w="55"/>
              <w:left w:type="dxa" w:w="140"/>
              <w:bottom w:type="dxa" w:w="55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C2B3A"/>
                <w:sz w:val="17"/>
                <w:szCs w:val="17"/>
              </w:rPr>
              <w:t xml:space="preserve">Adaptation permanente aux évolutions législatives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340"/>
      </w:tblGrid>
      <w:tr>
        <w:trPr>
          <w:cantSplit/>
        </w:trP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5" w:val="clear"/>
          </w:tcPr>
          <w:p>
            <w:r>
              <w:t xml:space="preserve"/>
            </w:r>
          </w:p>
        </w:tc>
        <w:tc>
          <w:tcPr>
            <w:tcW w:type="dxa" w:w="9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70"/>
              <w:left w:type="dxa" w:w="180"/>
              <w:bottom w:type="dxa" w:w="7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aps/>
                <w:color w:val="0D2B45"/>
                <w:sz w:val="18"/>
                <w:szCs w:val="18"/>
              </w:rPr>
              <w:t xml:space="preserve">5.  RSE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3"/>
        <w:gridCol w:w="3153"/>
        <w:gridCol w:w="3154"/>
      </w:tblGrid>
      <w:tr>
        <w:trPr>
          <w:cantSplit/>
        </w:trPr>
        <w:tc>
          <w:tcPr>
            <w:tcW w:type="dxa" w:w="3153"/>
            <w:tcBorders>
              <w:top w:val="single" w:color="BDD7EE" w:sz="1"/>
              <w:left w:val="single" w:color="0D2B45" w:sz="6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D2B45"/>
                <w:sz w:val="17"/>
                <w:szCs w:val="17"/>
              </w:rPr>
              <w:t xml:space="preserve">Dématérialisation</w:t>
            </w:r>
          </w:p>
          <w:p>
            <w:r>
              <w:rPr>
                <w:rFonts w:ascii="Calibri" w:cs="Calibri" w:eastAsia="Calibri" w:hAnsi="Calibri"/>
                <w:color w:val="4A6278"/>
                <w:sz w:val="16"/>
                <w:szCs w:val="16"/>
              </w:rPr>
              <w:t xml:space="preserve">Documents numérisés et détruits par déchiquetage</w:t>
            </w:r>
          </w:p>
        </w:tc>
        <w:tc>
          <w:tcPr>
            <w:tcW w:type="dxa" w:w="3153"/>
            <w:tcBorders>
              <w:top w:val="single" w:color="BDD7EE" w:sz="1"/>
              <w:left w:val="single" w:color="1B6CA8" w:sz="6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D2B45"/>
                <w:sz w:val="17"/>
                <w:szCs w:val="17"/>
              </w:rPr>
              <w:t xml:space="preserve">Données sécurisées</w:t>
            </w:r>
          </w:p>
          <w:p>
            <w:r>
              <w:rPr>
                <w:rFonts w:ascii="Calibri" w:cs="Calibri" w:eastAsia="Calibri" w:hAnsi="Calibri"/>
                <w:color w:val="4A6278"/>
                <w:sz w:val="16"/>
                <w:szCs w:val="16"/>
              </w:rPr>
              <w:t xml:space="preserve">Hébergement RGPD · accès restreint</w:t>
            </w:r>
          </w:p>
        </w:tc>
        <w:tc>
          <w:tcPr>
            <w:tcW w:type="dxa" w:w="3153"/>
            <w:tcBorders>
              <w:top w:val="single" w:color="BDD7EE" w:sz="1"/>
              <w:left w:val="single" w:color="2E86C1" w:sz="6"/>
              <w:bottom w:val="single" w:color="BDD7EE" w:sz="1"/>
              <w:right w:val="single" w:color="BDD7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0D2B45"/>
                <w:sz w:val="17"/>
                <w:szCs w:val="17"/>
              </w:rPr>
              <w:t xml:space="preserve">Responsabilité</w:t>
            </w:r>
          </w:p>
          <w:p>
            <w:r>
              <w:rPr>
                <w:rFonts w:ascii="Calibri" w:cs="Calibri" w:eastAsia="Calibri" w:hAnsi="Calibri"/>
                <w:color w:val="4A6278"/>
                <w:sz w:val="16"/>
                <w:szCs w:val="16"/>
              </w:rPr>
              <w:t xml:space="preserve">Confidentialité et transparence au cœur des pratiques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340"/>
      </w:tblGrid>
      <w:tr>
        <w:trPr>
          <w:cantSplit/>
        </w:trP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5" w:val="clear"/>
          </w:tcPr>
          <w:p>
            <w:r>
              <w:t xml:space="preserve"/>
            </w:r>
          </w:p>
        </w:tc>
        <w:tc>
          <w:tcPr>
            <w:tcW w:type="dxa" w:w="9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70"/>
              <w:left w:type="dxa" w:w="180"/>
              <w:bottom w:type="dxa" w:w="70"/>
              <w:right w:type="dxa" w:w="10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aps/>
                <w:color w:val="0D2B45"/>
                <w:sz w:val="18"/>
                <w:szCs w:val="18"/>
              </w:rPr>
              <w:t xml:space="preserve">6.  Analyse SWOT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30"/>
        <w:gridCol w:w="4730"/>
      </w:tblGrid>
      <w:tr>
        <w:trPr>
          <w:cantSplit/>
        </w:trPr>
        <w:tc>
          <w:tcPr>
            <w:tcW w:type="dxa" w:w="473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9F7E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E6B3A"/>
                <w:sz w:val="17"/>
                <w:szCs w:val="17"/>
              </w:rPr>
              <w:t xml:space="preserve">Forces</w:t>
            </w:r>
          </w:p>
          <w:p>
            <w:r>
              <w:rPr>
                <w:rFonts w:ascii="Calibri" w:cs="Calibri" w:eastAsia="Calibri" w:hAnsi="Calibri"/>
                <w:color w:val="1C2B3A"/>
                <w:sz w:val="16"/>
                <w:szCs w:val="16"/>
              </w:rPr>
              <w:t xml:space="preserve">Faible concurrence · expertise métier · 6 500 clients · croissance rapide</w:t>
            </w:r>
          </w:p>
        </w:tc>
        <w:tc>
          <w:tcPr>
            <w:tcW w:type="dxa" w:w="473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EFDE7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7D6608"/>
                <w:sz w:val="17"/>
                <w:szCs w:val="17"/>
              </w:rPr>
              <w:t xml:space="preserve">Faiblesses</w:t>
            </w:r>
          </w:p>
          <w:p>
            <w:r>
              <w:rPr>
                <w:rFonts w:ascii="Calibri" w:cs="Calibri" w:eastAsia="Calibri" w:hAnsi="Calibri"/>
                <w:color w:val="1C2B3A"/>
                <w:sz w:val="16"/>
                <w:szCs w:val="16"/>
              </w:rPr>
              <w:t xml:space="preserve">Dépendance aux politiques de l'État · complexité admin. · faible capital initial</w:t>
            </w:r>
          </w:p>
        </w:tc>
      </w:tr>
      <w:tr>
        <w:trPr>
          <w:cantSplit/>
        </w:trPr>
        <w:tc>
          <w:tcPr>
            <w:tcW w:type="dxa" w:w="473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5FB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1A5276"/>
                <w:sz w:val="17"/>
                <w:szCs w:val="17"/>
              </w:rPr>
              <w:t xml:space="preserve">Opportunités</w:t>
            </w:r>
          </w:p>
          <w:p>
            <w:r>
              <w:rPr>
                <w:rFonts w:ascii="Calibri" w:cs="Calibri" w:eastAsia="Calibri" w:hAnsi="Calibri"/>
                <w:color w:val="1C2B3A"/>
                <w:sz w:val="16"/>
                <w:szCs w:val="16"/>
              </w:rPr>
              <w:t xml:space="preserve">Marché énergies renouvelables · essor du numérique · aides à la digitalisation</w:t>
            </w:r>
          </w:p>
        </w:tc>
        <w:tc>
          <w:tcPr>
            <w:tcW w:type="dxa" w:w="473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DEDEC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olor w:val="922B21"/>
                <w:sz w:val="17"/>
                <w:szCs w:val="17"/>
              </w:rPr>
              <w:t xml:space="preserve">Menaces</w:t>
            </w:r>
          </w:p>
          <w:p>
            <w:r>
              <w:rPr>
                <w:rFonts w:ascii="Calibri" w:cs="Calibri" w:eastAsia="Calibri" w:hAnsi="Calibri"/>
                <w:color w:val="1C2B3A"/>
                <w:sz w:val="16"/>
                <w:szCs w:val="16"/>
              </w:rPr>
              <w:t xml:space="preserve">Changements réglementaires · ANTS/FranceConnect · inflation · crises économiques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750" w:right="800" w:bottom="75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D7EE" w:sz="2" w:space="3"/>
      </w:pBdr>
      <w:spacing w:before="40"/>
      <w:jc w:val="center"/>
    </w:pPr>
    <w:r>
      <w:rPr>
        <w:rFonts w:ascii="Calibri" w:cs="Calibri" w:eastAsia="Calibri" w:hAnsi="Calibri"/>
        <w:color w:val="4A6278"/>
        <w:sz w:val="14"/>
        <w:szCs w:val="14"/>
      </w:rPr>
      <w:t xml:space="preserve">84 Av. de la République, 94300 Vincennes  ·  SAS créée le 15 novembre 2022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D7EE" w:sz="2" w:space="3"/>
      </w:pBdr>
      <w:tabs>
        <w:tab w:val="right" w:pos="9026"/>
      </w:tabs>
      <w:spacing w:after="40"/>
    </w:pPr>
    <w:r>
      <w:rPr>
        <w:rFonts w:ascii="Calibri" w:cs="Calibri" w:eastAsia="Calibri" w:hAnsi="Calibri"/>
        <w:i/>
        <w:iCs/>
        <w:color w:val="4A6278"/>
        <w:sz w:val="15"/>
        <w:szCs w:val="15"/>
      </w:rPr>
      <w:t xml:space="preserve">2C Démarches  ·  Fiche Entreprise Portfolio</w:t>
    </w:r>
    <w:r>
      <w:rPr>
        <w:rFonts w:ascii="Calibri" w:cs="Calibri" w:eastAsia="Calibri" w:hAnsi="Calibri"/>
        <w:b/>
        <w:bCs/>
        <w:color w:val="1B6CA8"/>
        <w:sz w:val="15"/>
        <w:szCs w:val="15"/>
      </w:rPr>
      <w:t xml:space="preserve">	Lévana Wizman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B3A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2026-03-16T10:36:07.564Z</dcterms:created>
  <dcterms:modified xsi:type="dcterms:W3CDTF">2026-03-16T10:36:07.565Z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