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0"/>
        </w:rPr>
        <w:t>SỔ TAY XỬ LÝ ESCALATION HỖ TRỢ KHÁCH HÀNG</w:t>
      </w:r>
    </w:p>
    <w:p>
      <w:pPr>
        <w:spacing w:after="320"/>
      </w:pPr>
      <w:r>
        <w:rPr>
          <w:rFonts w:ascii="Calibri" w:hAnsi="Calibri"/>
          <w:b w:val="0"/>
          <w:color w:val="505050"/>
          <w:sz w:val="20"/>
        </w:rPr>
        <w:t>Tài liệu giả lập để kiểm thử RAG - phiên bản 1.0.0 - hiệu lực 01/08/2026</w:t>
      </w:r>
    </w:p>
    <w:p>
      <w:pPr>
        <w:pStyle w:val="Heading1"/>
        <w:spacing w:after="120" w:line="300" w:lineRule="auto"/>
      </w:pPr>
      <w:r>
        <w:rPr>
          <w:rFonts w:ascii="Calibri" w:hAnsi="Calibri"/>
          <w:b w:val="0"/>
          <w:sz w:val="22"/>
        </w:rPr>
        <w:t>Mục đích kiểm thử</w:t>
      </w:r>
    </w:p>
    <w:p>
      <w:pPr>
        <w:spacing w:after="120" w:line="300" w:lineRule="auto"/>
      </w:pPr>
      <w:r>
        <w:rPr>
          <w:rFonts w:ascii="Calibri" w:hAnsi="Calibri"/>
          <w:b w:val="0"/>
          <w:sz w:val="22"/>
        </w:rPr>
        <w:t>Tài liệu này mô tả cách nhân viên hỗ trợ tiếp nhận và chuyển cấp các tình huống giao hàng chậm, giao sai hoặc hàng lỗi. Đây là dữ liệu giả lập, không phải chính sách vận hành thật.</w:t>
      </w:r>
    </w:p>
    <w:p>
      <w:pPr>
        <w:pStyle w:val="Heading2"/>
        <w:spacing w:after="120" w:line="300" w:lineRule="auto"/>
      </w:pPr>
      <w:r>
        <w:rPr>
          <w:rFonts w:ascii="Calibri" w:hAnsi="Calibri"/>
          <w:b w:val="0"/>
          <w:sz w:val="22"/>
        </w:rPr>
        <w:t>Nguyên tắc không được suy đoán</w:t>
      </w:r>
    </w:p>
    <w:p>
      <w:pPr>
        <w:pStyle w:val="ListBullet"/>
        <w:spacing w:after="80"/>
      </w:pPr>
      <w:r>
        <w:rPr>
          <w:rFonts w:ascii="Calibri" w:hAnsi="Calibri"/>
          <w:b w:val="0"/>
          <w:sz w:val="22"/>
        </w:rPr>
        <w:t>Không hứa hoàn tiền, gửi lại hàng hoặc mã giảm giá trước khi có case và evidence phù hợp.</w:t>
      </w:r>
    </w:p>
    <w:p>
      <w:pPr>
        <w:pStyle w:val="ListBullet"/>
        <w:spacing w:after="80"/>
      </w:pPr>
      <w:r>
        <w:rPr>
          <w:rFonts w:ascii="Calibri" w:hAnsi="Calibri"/>
          <w:b w:val="0"/>
          <w:sz w:val="22"/>
        </w:rPr>
        <w:t>Không dùng thông tin điều chuyển kho nội bộ để trả lời khách hàng.</w:t>
      </w:r>
    </w:p>
    <w:p>
      <w:pPr>
        <w:pStyle w:val="ListBullet"/>
        <w:spacing w:after="80"/>
      </w:pPr>
      <w:r>
        <w:rPr>
          <w:rFonts w:ascii="Calibri" w:hAnsi="Calibri"/>
          <w:b w:val="0"/>
          <w:sz w:val="22"/>
        </w:rPr>
        <w:t>Nếu knowledge không có evidence hiện hành, trả lời rằng cần nhân viên kiểm tra và chuyển case.</w:t>
      </w:r>
    </w:p>
    <w:p>
      <w:pPr>
        <w:pStyle w:val="Heading1"/>
        <w:spacing w:after="120" w:line="300" w:lineRule="auto"/>
      </w:pPr>
      <w:r>
        <w:rPr>
          <w:rFonts w:ascii="Calibri" w:hAnsi="Calibri"/>
          <w:b w:val="0"/>
          <w:sz w:val="22"/>
        </w:rPr>
        <w:t>Ma trận escalation</w:t>
      </w:r>
    </w:p>
    <w:tbl>
      <w:tblPr>
        <w:tblStyle w:val="TableGrid"/>
        <w:tblW w:type="dxa" w:w="9360"/>
        <w:tblLayout w:type="fixed"/>
        <w:tblLook w:firstColumn="1" w:firstRow="1" w:lastColumn="0" w:lastRow="0" w:noHBand="0" w:noVBand="1" w:val="04A0"/>
        <w:tblInd w:w="120" w:type="dxa"/>
      </w:tblPr>
      <w:tblGrid>
        <w:gridCol w:w="2160"/>
        <w:gridCol w:w="4140"/>
        <w:gridCol w:w="3060"/>
      </w:tblGrid>
      <w:tr>
        <w:tc>
          <w:tcPr>
            <w:tcW w:type="dxa" w:w="2160"/>
            <w:shd w:fill="E8EEF5"/>
            <w:tcMar>
              <w:top w:w="80" w:type="dxa"/>
              <w:start w:w="120" w:type="dxa"/>
              <w:bottom w:w="80" w:type="dxa"/>
              <w:end w:w="120" w:type="dxa"/>
            </w:tcMar>
          </w:tcPr>
          <w:p>
            <w:r>
              <w:rPr>
                <w:rFonts w:ascii="Calibri" w:hAnsi="Calibri"/>
                <w:b/>
                <w:color w:val="0B2545"/>
                <w:sz w:val="20"/>
              </w:rPr>
              <w:t>Tình huống</w:t>
            </w:r>
          </w:p>
        </w:tc>
        <w:tc>
          <w:tcPr>
            <w:tcW w:type="dxa" w:w="4140"/>
            <w:shd w:fill="E8EEF5"/>
            <w:tcMar>
              <w:top w:w="80" w:type="dxa"/>
              <w:start w:w="120" w:type="dxa"/>
              <w:bottom w:w="80" w:type="dxa"/>
              <w:end w:w="120" w:type="dxa"/>
            </w:tcMar>
          </w:tcPr>
          <w:p>
            <w:r>
              <w:rPr>
                <w:rFonts w:ascii="Calibri" w:hAnsi="Calibri"/>
                <w:b/>
                <w:color w:val="0B2545"/>
                <w:sz w:val="20"/>
              </w:rPr>
              <w:t>Hành động bắt buộc</w:t>
            </w:r>
          </w:p>
        </w:tc>
        <w:tc>
          <w:tcPr>
            <w:tcW w:type="dxa" w:w="3060"/>
            <w:shd w:fill="E8EEF5"/>
            <w:tcMar>
              <w:top w:w="80" w:type="dxa"/>
              <w:start w:w="120" w:type="dxa"/>
              <w:bottom w:w="80" w:type="dxa"/>
              <w:end w:w="120" w:type="dxa"/>
            </w:tcMar>
          </w:tcPr>
          <w:p>
            <w:r>
              <w:rPr>
                <w:rFonts w:ascii="Calibri" w:hAnsi="Calibri"/>
                <w:b/>
                <w:color w:val="0B2545"/>
                <w:sz w:val="20"/>
              </w:rPr>
              <w:t>Không được cam kết</w:t>
            </w:r>
          </w:p>
        </w:tc>
      </w:tr>
      <w:tr>
        <w:tc>
          <w:tcPr>
            <w:tcW w:type="dxa" w:w="2160"/>
            <w:tcMar>
              <w:top w:w="80" w:type="dxa"/>
              <w:start w:w="120" w:type="dxa"/>
              <w:bottom w:w="80" w:type="dxa"/>
              <w:end w:w="120" w:type="dxa"/>
            </w:tcMar>
          </w:tcPr>
          <w:p>
            <w:r>
              <w:rPr>
                <w:rFonts w:ascii="Calibri" w:hAnsi="Calibri"/>
                <w:b w:val="0"/>
                <w:sz w:val="20"/>
              </w:rPr>
              <w:t>Tracking không đổi 48 giờ sau bàn giao</w:t>
            </w:r>
          </w:p>
        </w:tc>
        <w:tc>
          <w:tcPr>
            <w:tcW w:type="dxa" w:w="4140"/>
            <w:tcMar>
              <w:top w:w="80" w:type="dxa"/>
              <w:start w:w="120" w:type="dxa"/>
              <w:bottom w:w="80" w:type="dxa"/>
              <w:end w:w="120" w:type="dxa"/>
            </w:tcMar>
          </w:tcPr>
          <w:p>
            <w:r>
              <w:rPr>
                <w:rFonts w:ascii="Calibri" w:hAnsi="Calibri"/>
                <w:b w:val="0"/>
                <w:sz w:val="20"/>
              </w:rPr>
              <w:t>Tạo case CS-DELIVERY-DELAY với mã đơn, mã vận đơn và tracking gần nhất.</w:t>
            </w:r>
          </w:p>
        </w:tc>
        <w:tc>
          <w:tcPr>
            <w:tcW w:type="dxa" w:w="3060"/>
            <w:tcMar>
              <w:top w:w="80" w:type="dxa"/>
              <w:start w:w="120" w:type="dxa"/>
              <w:bottom w:w="80" w:type="dxa"/>
              <w:end w:w="120" w:type="dxa"/>
            </w:tcMar>
          </w:tcPr>
          <w:p>
            <w:r>
              <w:rPr>
                <w:rFonts w:ascii="Calibri" w:hAnsi="Calibri"/>
                <w:b w:val="0"/>
                <w:sz w:val="20"/>
              </w:rPr>
              <w:t>Hoàn tiền hoặc gửi lại hàng ngay.</w:t>
            </w:r>
          </w:p>
        </w:tc>
      </w:tr>
      <w:tr>
        <w:tc>
          <w:tcPr>
            <w:tcW w:type="dxa" w:w="2160"/>
            <w:tcMar>
              <w:top w:w="80" w:type="dxa"/>
              <w:start w:w="120" w:type="dxa"/>
              <w:bottom w:w="80" w:type="dxa"/>
              <w:end w:w="120" w:type="dxa"/>
            </w:tcMar>
          </w:tcPr>
          <w:p>
            <w:r>
              <w:rPr>
                <w:rFonts w:ascii="Calibri" w:hAnsi="Calibri"/>
                <w:b w:val="0"/>
                <w:sz w:val="20"/>
              </w:rPr>
              <w:t>Giao sai mẫu, thiếu phụ kiện hoặc lỗi khi mở hộp</w:t>
            </w:r>
          </w:p>
        </w:tc>
        <w:tc>
          <w:tcPr>
            <w:tcW w:type="dxa" w:w="4140"/>
            <w:tcMar>
              <w:top w:w="80" w:type="dxa"/>
              <w:start w:w="120" w:type="dxa"/>
              <w:bottom w:w="80" w:type="dxa"/>
              <w:end w:w="120" w:type="dxa"/>
            </w:tcMar>
          </w:tcPr>
          <w:p>
            <w:r>
              <w:rPr>
                <w:rFonts w:ascii="Calibri" w:hAnsi="Calibri"/>
                <w:b w:val="0"/>
                <w:sz w:val="20"/>
              </w:rPr>
              <w:t>Tạo case CS-EXCEPTION và đính kèm ảnh/video nếu khách có.</w:t>
            </w:r>
          </w:p>
        </w:tc>
        <w:tc>
          <w:tcPr>
            <w:tcW w:type="dxa" w:w="3060"/>
            <w:tcMar>
              <w:top w:w="80" w:type="dxa"/>
              <w:start w:w="120" w:type="dxa"/>
              <w:bottom w:w="80" w:type="dxa"/>
              <w:end w:w="120" w:type="dxa"/>
            </w:tcMar>
          </w:tcPr>
          <w:p>
            <w:r>
              <w:rPr>
                <w:rFonts w:ascii="Calibri" w:hAnsi="Calibri"/>
                <w:b w:val="0"/>
                <w:sz w:val="20"/>
              </w:rPr>
              <w:t>Quy kết lỗi cho hãng vận chuyển trước khi xác minh.</w:t>
            </w:r>
          </w:p>
        </w:tc>
      </w:tr>
      <w:tr>
        <w:tc>
          <w:tcPr>
            <w:tcW w:type="dxa" w:w="2160"/>
            <w:tcMar>
              <w:top w:w="80" w:type="dxa"/>
              <w:start w:w="120" w:type="dxa"/>
              <w:bottom w:w="80" w:type="dxa"/>
              <w:end w:w="120" w:type="dxa"/>
            </w:tcMar>
          </w:tcPr>
          <w:p>
            <w:r>
              <w:rPr>
                <w:rFonts w:ascii="Calibri" w:hAnsi="Calibri"/>
                <w:b w:val="0"/>
                <w:sz w:val="20"/>
              </w:rPr>
              <w:t>Sản phẩm lỗi trong 30 ngày</w:t>
            </w:r>
          </w:p>
        </w:tc>
        <w:tc>
          <w:tcPr>
            <w:tcW w:type="dxa" w:w="4140"/>
            <w:tcMar>
              <w:top w:w="80" w:type="dxa"/>
              <w:start w:w="120" w:type="dxa"/>
              <w:bottom w:w="80" w:type="dxa"/>
              <w:end w:w="120" w:type="dxa"/>
            </w:tcMar>
          </w:tcPr>
          <w:p>
            <w:r>
              <w:rPr>
                <w:rFonts w:ascii="Calibri" w:hAnsi="Calibri"/>
                <w:b w:val="0"/>
                <w:sz w:val="20"/>
              </w:rPr>
              <w:t>Tạo case CS-DEFECT-30D để ưu tiên đánh giá kỹ thuật.</w:t>
            </w:r>
          </w:p>
        </w:tc>
        <w:tc>
          <w:tcPr>
            <w:tcW w:type="dxa" w:w="3060"/>
            <w:tcMar>
              <w:top w:w="80" w:type="dxa"/>
              <w:start w:w="120" w:type="dxa"/>
              <w:bottom w:w="80" w:type="dxa"/>
              <w:end w:w="120" w:type="dxa"/>
            </w:tcMar>
          </w:tcPr>
          <w:p>
            <w:r>
              <w:rPr>
                <w:rFonts w:ascii="Calibri" w:hAnsi="Calibri"/>
                <w:b w:val="0"/>
                <w:sz w:val="20"/>
              </w:rPr>
              <w:t>Đổi mới ngay khi chưa hoàn tất chẩn đoán.</w:t>
            </w:r>
          </w:p>
        </w:tc>
      </w:tr>
    </w:tbl>
    <w:p>
      <w:pPr>
        <w:spacing w:before="80" w:after="80"/>
      </w:pPr>
      <w:r>
        <w:rPr>
          <w:rFonts w:ascii="Calibri" w:hAnsi="Calibri"/>
          <w:b w:val="0"/>
          <w:color w:val="505050"/>
          <w:sz w:val="18"/>
        </w:rPr>
        <w:t>Nguồn fixture: fixture://rag/customer-support-escalation-playbook</w:t>
      </w:r>
    </w:p>
    <w:p>
      <w:pPr>
        <w:pStyle w:val="Heading1"/>
        <w:spacing w:after="120" w:line="300" w:lineRule="auto"/>
      </w:pPr>
      <w:r>
        <w:rPr>
          <w:rFonts w:ascii="Calibri" w:hAnsi="Calibri"/>
          <w:b w:val="0"/>
          <w:sz w:val="22"/>
        </w:rPr>
        <w:t>Quy trình trả lời khách</w:t>
      </w:r>
    </w:p>
    <w:p>
      <w:pPr>
        <w:pStyle w:val="ListNumber"/>
        <w:spacing w:after="80"/>
      </w:pPr>
      <w:r>
        <w:rPr>
          <w:rFonts w:ascii="Calibri" w:hAnsi="Calibri"/>
          <w:b w:val="0"/>
          <w:sz w:val="22"/>
        </w:rPr>
        <w:t>Xác nhận mã đơn hoặc bằng chứng mua hàng, sau đó tóm tắt sự cố bằng ngôn ngữ của khách.</w:t>
      </w:r>
    </w:p>
    <w:p>
      <w:pPr>
        <w:pStyle w:val="ListNumber"/>
        <w:spacing w:after="80"/>
      </w:pPr>
      <w:r>
        <w:rPr>
          <w:rFonts w:ascii="Calibri" w:hAnsi="Calibri"/>
          <w:b w:val="0"/>
          <w:sz w:val="22"/>
        </w:rPr>
        <w:t>Tìm knowledge đã duyệt theo tenant, scope customer_support và locale phù hợp.</w:t>
      </w:r>
    </w:p>
    <w:p>
      <w:pPr>
        <w:pStyle w:val="ListNumber"/>
        <w:spacing w:after="80"/>
      </w:pPr>
      <w:r>
        <w:rPr>
          <w:rFonts w:ascii="Calibri" w:hAnsi="Calibri"/>
          <w:b w:val="0"/>
          <w:sz w:val="22"/>
        </w:rPr>
        <w:t>Trích dẫn policy liên quan; nếu không có evidence, tạo hoặc chuyển case thay vì tự suy luận.</w:t>
      </w:r>
    </w:p>
    <w:p>
      <w:pPr>
        <w:pStyle w:val="ListNumber"/>
        <w:spacing w:after="80"/>
      </w:pPr>
      <w:r>
        <w:rPr>
          <w:rFonts w:ascii="Calibri" w:hAnsi="Calibri"/>
          <w:b w:val="0"/>
          <w:sz w:val="22"/>
        </w:rPr>
        <w:t>Đánh dấu câu trả lời là cần nhân viên kiểm tra trước khi gửi khách.</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46464"/>
        <w:sz w:val="18"/>
      </w:rPr>
      <w:t>RAG test fixture | customer_support | vi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