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SOP - Quy trình đối soát và bù trừ giao dịch (Reconciliation &amp; Settlement)</w:t>
      </w:r>
    </w:p>
    <w:p>
      <w:r>
        <w:rPr>
          <w:rFonts w:ascii="Times New Roman" w:cs="Times New Roman" w:eastAsia="Times New Roman" w:hAnsi="Times New Roman"/>
          <w:b/>
          <w:bCs/>
        </w:rPr>
        <w:t xml:space="preserve">Mã tài liệu: </w:t>
      </w:r>
      <w:r>
        <w:rPr>
          <w:rFonts w:ascii="Times New Roman" w:cs="Times New Roman" w:eastAsia="Times New Roman" w:hAnsi="Times New Roman"/>
        </w:rPr>
        <w:t xml:space="preserve">SOP-005</w:t>
      </w:r>
    </w:p>
    <w:p>
      <w:r>
        <w:rPr>
          <w:rFonts w:ascii="Times New Roman" w:cs="Times New Roman" w:eastAsia="Times New Roman" w:hAnsi="Times New Roman"/>
          <w:b/>
          <w:bCs/>
        </w:rPr>
        <w:t xml:space="preserve">Loại tài liệu: </w:t>
      </w:r>
      <w:r>
        <w:rPr>
          <w:rFonts w:ascii="Times New Roman" w:cs="Times New Roman" w:eastAsia="Times New Roman" w:hAnsi="Times New Roman"/>
        </w:rPr>
        <w:t xml:space="preserve">SOP</w:t>
      </w:r>
    </w:p>
    <w:p>
      <w:r>
        <w:rPr>
          <w:rFonts w:ascii="Times New Roman" w:cs="Times New Roman" w:eastAsia="Times New Roman" w:hAnsi="Times New Roman"/>
          <w:b/>
          <w:bCs/>
        </w:rPr>
        <w:t xml:space="preserve">Module: </w:t>
      </w:r>
      <w:r>
        <w:rPr>
          <w:rFonts w:ascii="Times New Roman" w:cs="Times New Roman" w:eastAsia="Times New Roman" w:hAnsi="Times New Roman"/>
        </w:rPr>
        <w:t xml:space="preserve">Doi_Soat</w:t>
      </w:r>
    </w:p>
    <w:p>
      <w:r>
        <w:rPr>
          <w:rFonts w:ascii="Times New Roman" w:cs="Times New Roman" w:eastAsia="Times New Roman" w:hAnsi="Times New Roman"/>
          <w:b/>
          <w:bCs/>
        </w:rPr>
        <w:t xml:space="preserve">Phiên bản: </w:t>
      </w:r>
      <w:r>
        <w:rPr>
          <w:rFonts w:ascii="Times New Roman" w:cs="Times New Roman" w:eastAsia="Times New Roman" w:hAnsi="Times New Roman"/>
        </w:rPr>
        <w:t xml:space="preserve">2.0</w:t>
      </w:r>
    </w:p>
    <w:p>
      <w:r>
        <w:rPr>
          <w:rFonts w:ascii="Times New Roman" w:cs="Times New Roman" w:eastAsia="Times New Roman" w:hAnsi="Times New Roman"/>
          <w:b/>
          <w:bCs/>
        </w:rPr>
        <w:t xml:space="preserve">Trạng thái: </w:t>
      </w:r>
      <w:r>
        <w:rPr>
          <w:rFonts w:ascii="Times New Roman" w:cs="Times New Roman" w:eastAsia="Times New Roman" w:hAnsi="Times New Roman"/>
        </w:rPr>
        <w:t xml:space="preserve">Approved</w:t>
      </w:r>
    </w:p>
    <w:p>
      <w:r>
        <w:rPr>
          <w:rFonts w:ascii="Times New Roman" w:cs="Times New Roman" w:eastAsia="Times New Roman" w:hAnsi="Times New Roman"/>
          <w:b/>
          <w:bCs/>
        </w:rPr>
        <w:t xml:space="preserve">Ngày hiệu lực: </w:t>
      </w:r>
      <w:r>
        <w:rPr>
          <w:rFonts w:ascii="Times New Roman" w:cs="Times New Roman" w:eastAsia="Times New Roman" w:hAnsi="Times New Roman"/>
        </w:rPr>
        <w:t xml:space="preserve">2026-03-01</w:t>
      </w:r>
    </w:p>
    <w:p>
      <w:r>
        <w:rPr>
          <w:rFonts w:ascii="Times New Roman" w:cs="Times New Roman" w:eastAsia="Times New Roman" w:hAnsi="Times New Roman"/>
          <w:b/>
          <w:bCs/>
        </w:rPr>
        <w:t xml:space="preserve">Chủ sở hữu: </w:t>
      </w:r>
      <w:r>
        <w:rPr>
          <w:rFonts w:ascii="Times New Roman" w:cs="Times New Roman" w:eastAsia="Times New Roman" w:hAnsi="Times New Roman"/>
        </w:rPr>
        <w:t xml:space="preserve">Finance &amp; Operations Team</w:t>
      </w:r>
    </w:p>
    <w:p/>
    <w:p>
      <w:pPr>
        <w:pStyle w:val="Heading1"/>
      </w:pPr>
      <w:r>
        <w:t xml:space="preserve">1. Mục đích</w:t>
      </w:r>
    </w:p>
    <w:p>
      <w:pPr>
        <w:spacing w:after="120"/>
      </w:pPr>
      <w:r>
        <w:rPr>
          <w:rFonts w:ascii="Times New Roman" w:cs="Times New Roman" w:eastAsia="Times New Roman" w:hAnsi="Times New Roman"/>
        </w:rPr>
        <w:t xml:space="preserve">Quy định quy trình đối soát dữ liệu giao dịch hàng ngày giữa hệ thống ManhPay và các đối tác (ngân hàng, Napas, cổng thanh toán thẻ quốc tế, merchant), nhằm phát hiện và xử lý kịp thời các chênh lệch, đảm bảo không thất thoát tiền của khách hàng và của công ty.</w:t>
      </w:r>
    </w:p>
    <w:p>
      <w:pPr>
        <w:pStyle w:val="Heading1"/>
      </w:pPr>
      <w:r>
        <w:t xml:space="preserve">2. Phạm vi áp dụng</w:t>
      </w:r>
    </w:p>
    <w:p>
      <w:pPr>
        <w:pStyle w:val="ListParagraph"/>
        <w:numPr>
          <w:ilvl w:val="0"/>
          <w:numId w:val="1"/>
        </w:numPr>
      </w:pPr>
      <w:r>
        <w:rPr>
          <w:rFonts w:ascii="Times New Roman" w:cs="Times New Roman" w:eastAsia="Times New Roman" w:hAnsi="Times New Roman"/>
        </w:rPr>
        <w:t xml:space="preserve">Toàn bộ giao dịch nạp tiền, rút tiền, thanh toán QR và chuyển tiền liên ngân hàng.</w:t>
      </w:r>
    </w:p>
    <w:p>
      <w:pPr>
        <w:pStyle w:val="ListParagraph"/>
        <w:numPr>
          <w:ilvl w:val="0"/>
          <w:numId w:val="1"/>
        </w:numPr>
      </w:pPr>
      <w:r>
        <w:rPr>
          <w:rFonts w:ascii="Times New Roman" w:cs="Times New Roman" w:eastAsia="Times New Roman" w:hAnsi="Times New Roman"/>
        </w:rPr>
        <w:t xml:space="preserve">Không áp dụng cho giao dịch chuyển tiền P2P nội bộ (không phát sinh dòng tiền ra ngoài hệ thống).</w:t>
      </w:r>
    </w:p>
    <w:p>
      <w:pPr>
        <w:pStyle w:val="Heading1"/>
      </w:pPr>
      <w:r>
        <w:t xml:space="preserve">3. Chu kỳ đối soát</w:t>
      </w:r>
    </w:p>
    <w:p>
      <w:pPr>
        <w:pStyle w:val="ListParagraph"/>
        <w:numPr>
          <w:ilvl w:val="0"/>
          <w:numId w:val="1"/>
        </w:numPr>
      </w:pPr>
      <w:r>
        <w:rPr>
          <w:rFonts w:ascii="Times New Roman" w:cs="Times New Roman" w:eastAsia="Times New Roman" w:hAnsi="Times New Roman"/>
        </w:rPr>
        <w:t xml:space="preserve">Đối soát tự động: chạy hàng ngày lúc 02:00 giờ Việt Nam cho dữ liệu của ngày liền trước.</w:t>
      </w:r>
    </w:p>
    <w:p>
      <w:pPr>
        <w:pStyle w:val="ListParagraph"/>
        <w:numPr>
          <w:ilvl w:val="0"/>
          <w:numId w:val="1"/>
        </w:numPr>
      </w:pPr>
      <w:r>
        <w:rPr>
          <w:rFonts w:ascii="Times New Roman" w:cs="Times New Roman" w:eastAsia="Times New Roman" w:hAnsi="Times New Roman"/>
        </w:rPr>
        <w:t xml:space="preserve">Đối soát thủ công: thực hiện khi phát hiện sự cố hoặc khi đối soát tự động báo chênh lệch vượt ngưỡng cho phép.</w:t>
      </w:r>
    </w:p>
    <w:p>
      <w:pPr>
        <w:pStyle w:val="ListParagraph"/>
        <w:numPr>
          <w:ilvl w:val="0"/>
          <w:numId w:val="1"/>
        </w:numPr>
      </w:pPr>
      <w:r>
        <w:rPr>
          <w:rFonts w:ascii="Times New Roman" w:cs="Times New Roman" w:eastAsia="Times New Roman" w:hAnsi="Times New Roman"/>
        </w:rPr>
        <w:t xml:space="preserve">Đối soát định kỳ tháng: chốt số liệu tài chính, phục vụ báo cáo cho Ban lãnh đạo và cơ quan quản lý.</w:t>
      </w:r>
    </w:p>
    <w:p>
      <w:pPr>
        <w:pStyle w:val="Heading1"/>
      </w:pPr>
      <w:r>
        <w:t xml:space="preserve">4. Quy trình đối soát tự động</w:t>
      </w:r>
    </w:p>
    <w:p>
      <w:pPr>
        <w:pStyle w:val="ListParagraph"/>
        <w:numPr>
          <w:ilvl w:val="0"/>
          <w:numId w:val="2"/>
        </w:numPr>
      </w:pPr>
      <w:r>
        <w:rPr>
          <w:rFonts w:ascii="Times New Roman" w:cs="Times New Roman" w:eastAsia="Times New Roman" w:hAnsi="Times New Roman"/>
        </w:rPr>
        <w:t xml:space="preserve">Hệ thống tải file đối soát từ đối tác (định dạng CSV/Excel theo chuẩn từng đối tác).</w:t>
      </w:r>
    </w:p>
    <w:p>
      <w:pPr>
        <w:pStyle w:val="ListParagraph"/>
        <w:numPr>
          <w:ilvl w:val="0"/>
          <w:numId w:val="2"/>
        </w:numPr>
      </w:pPr>
      <w:r>
        <w:rPr>
          <w:rFonts w:ascii="Times New Roman" w:cs="Times New Roman" w:eastAsia="Times New Roman" w:hAnsi="Times New Roman"/>
        </w:rPr>
        <w:t xml:space="preserve">Chuẩn hóa dữ liệu về cùng định dạng nội bộ (mã giao dịch, số tiền, thời gian, trạng thái).</w:t>
      </w:r>
    </w:p>
    <w:p>
      <w:pPr>
        <w:pStyle w:val="ListParagraph"/>
        <w:numPr>
          <w:ilvl w:val="0"/>
          <w:numId w:val="2"/>
        </w:numPr>
      </w:pPr>
      <w:r>
        <w:rPr>
          <w:rFonts w:ascii="Times New Roman" w:cs="Times New Roman" w:eastAsia="Times New Roman" w:hAnsi="Times New Roman"/>
        </w:rPr>
        <w:t xml:space="preserve">So khớp từng giao dịch theo transaction_reference và idempotency_key.</w:t>
      </w:r>
    </w:p>
    <w:p>
      <w:pPr>
        <w:pStyle w:val="ListParagraph"/>
        <w:numPr>
          <w:ilvl w:val="0"/>
          <w:numId w:val="2"/>
        </w:numPr>
      </w:pPr>
      <w:r>
        <w:rPr>
          <w:rFonts w:ascii="Times New Roman" w:cs="Times New Roman" w:eastAsia="Times New Roman" w:hAnsi="Times New Roman"/>
        </w:rPr>
        <w:t xml:space="preserve">Phân loại kết quả: khớp hoàn toàn, chênh lệch, hoặc chỉ tồn tại một phía.</w:t>
      </w:r>
    </w:p>
    <w:p>
      <w:pPr>
        <w:pStyle w:val="ListParagraph"/>
        <w:numPr>
          <w:ilvl w:val="0"/>
          <w:numId w:val="2"/>
        </w:numPr>
      </w:pPr>
      <w:r>
        <w:rPr>
          <w:rFonts w:ascii="Times New Roman" w:cs="Times New Roman" w:eastAsia="Times New Roman" w:hAnsi="Times New Roman"/>
        </w:rPr>
        <w:t xml:space="preserve">Sinh báo cáo đối soát, gửi tự động cho đội Operations và Finance trước 08:00.</w:t>
      </w:r>
    </w:p>
    <w:p>
      <w:pPr>
        <w:pStyle w:val="ListParagraph"/>
        <w:numPr>
          <w:ilvl w:val="0"/>
          <w:numId w:val="2"/>
        </w:numPr>
      </w:pPr>
      <w:r>
        <w:rPr>
          <w:rFonts w:ascii="Times New Roman" w:cs="Times New Roman" w:eastAsia="Times New Roman" w:hAnsi="Times New Roman"/>
        </w:rPr>
        <w:t xml:space="preserve">Các giao dịch chênh lệch được đưa vào hàng đợi xử lý thủ công.</w:t>
      </w:r>
    </w:p>
    <w:p>
      <w:pPr>
        <w:pStyle w:val="Heading1"/>
      </w:pPr>
      <w:r>
        <w:t xml:space="preserve">5. Phân loại chênh lệch và hướng xử lý</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2200"/>
        <w:gridCol w:w="2200"/>
      </w:tblGrid>
      <w:tr>
        <w:trPr>
          <w:tblHeader/>
        </w:trPr>
        <w:tc>
          <w:tcPr>
            <w:shd w:fill="1F4E78" w:color="auto" w:val="clear"/>
            <w:vAlign w:val="center"/>
          </w:tcPr>
          <w:p>
            <w:r>
              <w:rPr>
                <w:rFonts w:ascii="Times New Roman" w:cs="Times New Roman" w:eastAsia="Times New Roman" w:hAnsi="Times New Roman"/>
                <w:b/>
                <w:bCs/>
                <w:color w:val="FFFFFF"/>
                <w:sz w:val="21"/>
                <w:szCs w:val="21"/>
              </w:rPr>
              <w:t xml:space="preserve">Loại chênh lệch</w:t>
            </w:r>
          </w:p>
        </w:tc>
        <w:tc>
          <w:tcPr>
            <w:shd w:fill="1F4E78" w:color="auto" w:val="clear"/>
            <w:vAlign w:val="center"/>
          </w:tcPr>
          <w:p>
            <w:r>
              <w:rPr>
                <w:rFonts w:ascii="Times New Roman" w:cs="Times New Roman" w:eastAsia="Times New Roman" w:hAnsi="Times New Roman"/>
                <w:b/>
                <w:bCs/>
                <w:color w:val="FFFFFF"/>
                <w:sz w:val="21"/>
                <w:szCs w:val="21"/>
              </w:rPr>
              <w:t xml:space="preserve">Mô tả</w:t>
            </w:r>
          </w:p>
        </w:tc>
        <w:tc>
          <w:tcPr>
            <w:shd w:fill="1F4E78" w:color="auto" w:val="clear"/>
            <w:vAlign w:val="center"/>
          </w:tcPr>
          <w:p>
            <w:r>
              <w:rPr>
                <w:rFonts w:ascii="Times New Roman" w:cs="Times New Roman" w:eastAsia="Times New Roman" w:hAnsi="Times New Roman"/>
                <w:b/>
                <w:bCs/>
                <w:color w:val="FFFFFF"/>
                <w:sz w:val="21"/>
                <w:szCs w:val="21"/>
              </w:rPr>
              <w:t xml:space="preserve">Thời hạn xử lý</w:t>
            </w:r>
          </w:p>
        </w:tc>
        <w:tc>
          <w:tcPr>
            <w:shd w:fill="1F4E78" w:color="auto" w:val="clear"/>
            <w:vAlign w:val="center"/>
          </w:tcPr>
          <w:p>
            <w:r>
              <w:rPr>
                <w:rFonts w:ascii="Times New Roman" w:cs="Times New Roman" w:eastAsia="Times New Roman" w:hAnsi="Times New Roman"/>
                <w:b/>
                <w:bCs/>
                <w:color w:val="FFFFFF"/>
                <w:sz w:val="21"/>
                <w:szCs w:val="21"/>
              </w:rPr>
              <w:t xml:space="preserve">Bộ phận chịu trách nhiệm</w:t>
            </w:r>
          </w:p>
        </w:tc>
      </w:tr>
      <w:tr>
        <w:tc>
          <w:tcPr>
            <w:vAlign w:val="center"/>
          </w:tcPr>
          <w:p>
            <w:r>
              <w:rPr>
                <w:rFonts w:ascii="Times New Roman" w:cs="Times New Roman" w:eastAsia="Times New Roman" w:hAnsi="Times New Roman"/>
                <w:b w:val="false"/>
                <w:bCs w:val="false"/>
                <w:color w:val="000000"/>
                <w:sz w:val="21"/>
                <w:szCs w:val="21"/>
              </w:rPr>
              <w:t xml:space="preserve">Thiếu ở ManhPay</w:t>
            </w:r>
          </w:p>
        </w:tc>
        <w:tc>
          <w:tcPr>
            <w:vAlign w:val="center"/>
          </w:tcPr>
          <w:p>
            <w:r>
              <w:rPr>
                <w:rFonts w:ascii="Times New Roman" w:cs="Times New Roman" w:eastAsia="Times New Roman" w:hAnsi="Times New Roman"/>
                <w:b w:val="false"/>
                <w:bCs w:val="false"/>
                <w:color w:val="000000"/>
                <w:sz w:val="21"/>
                <w:szCs w:val="21"/>
              </w:rPr>
              <w:t xml:space="preserve">Đối tác ghi nhận giao dịch, ManhPay không có</w:t>
            </w:r>
          </w:p>
        </w:tc>
        <w:tc>
          <w:tcPr>
            <w:vAlign w:val="center"/>
          </w:tcPr>
          <w:p>
            <w:r>
              <w:rPr>
                <w:rFonts w:ascii="Times New Roman" w:cs="Times New Roman" w:eastAsia="Times New Roman" w:hAnsi="Times New Roman"/>
                <w:b w:val="false"/>
                <w:bCs w:val="false"/>
                <w:color w:val="000000"/>
                <w:sz w:val="21"/>
                <w:szCs w:val="21"/>
              </w:rPr>
              <w:t xml:space="preserve">Trong ngày làm việc kế tiếp</w:t>
            </w:r>
          </w:p>
        </w:tc>
        <w:tc>
          <w:tcPr>
            <w:vAlign w:val="center"/>
          </w:tcPr>
          <w:p>
            <w:r>
              <w:rPr>
                <w:rFonts w:ascii="Times New Roman" w:cs="Times New Roman" w:eastAsia="Times New Roman" w:hAnsi="Times New Roman"/>
                <w:b w:val="false"/>
                <w:bCs w:val="false"/>
                <w:color w:val="000000"/>
                <w:sz w:val="21"/>
                <w:szCs w:val="21"/>
              </w:rPr>
              <w:t xml:space="preserve">Operations</w:t>
            </w:r>
          </w:p>
        </w:tc>
      </w:tr>
      <w:tr>
        <w:tc>
          <w:tcPr>
            <w:vAlign w:val="center"/>
          </w:tcPr>
          <w:p>
            <w:r>
              <w:rPr>
                <w:rFonts w:ascii="Times New Roman" w:cs="Times New Roman" w:eastAsia="Times New Roman" w:hAnsi="Times New Roman"/>
                <w:b w:val="false"/>
                <w:bCs w:val="false"/>
                <w:color w:val="000000"/>
                <w:sz w:val="21"/>
                <w:szCs w:val="21"/>
              </w:rPr>
              <w:t xml:space="preserve">Thiếu ở đối tác</w:t>
            </w:r>
          </w:p>
        </w:tc>
        <w:tc>
          <w:tcPr>
            <w:vAlign w:val="center"/>
          </w:tcPr>
          <w:p>
            <w:r>
              <w:rPr>
                <w:rFonts w:ascii="Times New Roman" w:cs="Times New Roman" w:eastAsia="Times New Roman" w:hAnsi="Times New Roman"/>
                <w:b w:val="false"/>
                <w:bCs w:val="false"/>
                <w:color w:val="000000"/>
                <w:sz w:val="21"/>
                <w:szCs w:val="21"/>
              </w:rPr>
              <w:t xml:space="preserve">ManhPay ghi nhận, đối tác không có</w:t>
            </w:r>
          </w:p>
        </w:tc>
        <w:tc>
          <w:tcPr>
            <w:vAlign w:val="center"/>
          </w:tcPr>
          <w:p>
            <w:r>
              <w:rPr>
                <w:rFonts w:ascii="Times New Roman" w:cs="Times New Roman" w:eastAsia="Times New Roman" w:hAnsi="Times New Roman"/>
                <w:b w:val="false"/>
                <w:bCs w:val="false"/>
                <w:color w:val="000000"/>
                <w:sz w:val="21"/>
                <w:szCs w:val="21"/>
              </w:rPr>
              <w:t xml:space="preserve">Trong 2 ngày làm việc</w:t>
            </w:r>
          </w:p>
        </w:tc>
        <w:tc>
          <w:tcPr>
            <w:vAlign w:val="center"/>
          </w:tcPr>
          <w:p>
            <w:r>
              <w:rPr>
                <w:rFonts w:ascii="Times New Roman" w:cs="Times New Roman" w:eastAsia="Times New Roman" w:hAnsi="Times New Roman"/>
                <w:b w:val="false"/>
                <w:bCs w:val="false"/>
                <w:color w:val="000000"/>
                <w:sz w:val="21"/>
                <w:szCs w:val="21"/>
              </w:rPr>
              <w:t xml:space="preserve">Operations + đối tác</w:t>
            </w:r>
          </w:p>
        </w:tc>
      </w:tr>
      <w:tr>
        <w:tc>
          <w:tcPr>
            <w:vAlign w:val="center"/>
          </w:tcPr>
          <w:p>
            <w:r>
              <w:rPr>
                <w:rFonts w:ascii="Times New Roman" w:cs="Times New Roman" w:eastAsia="Times New Roman" w:hAnsi="Times New Roman"/>
                <w:b w:val="false"/>
                <w:bCs w:val="false"/>
                <w:color w:val="000000"/>
                <w:sz w:val="21"/>
                <w:szCs w:val="21"/>
              </w:rPr>
              <w:t xml:space="preserve">Lệch số tiền</w:t>
            </w:r>
          </w:p>
        </w:tc>
        <w:tc>
          <w:tcPr>
            <w:vAlign w:val="center"/>
          </w:tcPr>
          <w:p>
            <w:r>
              <w:rPr>
                <w:rFonts w:ascii="Times New Roman" w:cs="Times New Roman" w:eastAsia="Times New Roman" w:hAnsi="Times New Roman"/>
                <w:b w:val="false"/>
                <w:bCs w:val="false"/>
                <w:color w:val="000000"/>
                <w:sz w:val="21"/>
                <w:szCs w:val="21"/>
              </w:rPr>
              <w:t xml:space="preserve">Cùng mã giao dịch nhưng số tiền khác nhau</w:t>
            </w:r>
          </w:p>
        </w:tc>
        <w:tc>
          <w:tcPr>
            <w:vAlign w:val="center"/>
          </w:tcPr>
          <w:p>
            <w:r>
              <w:rPr>
                <w:rFonts w:ascii="Times New Roman" w:cs="Times New Roman" w:eastAsia="Times New Roman" w:hAnsi="Times New Roman"/>
                <w:b w:val="false"/>
                <w:bCs w:val="false"/>
                <w:color w:val="000000"/>
                <w:sz w:val="21"/>
                <w:szCs w:val="21"/>
              </w:rPr>
              <w:t xml:space="preserve">Trong 2 ngày làm việc</w:t>
            </w:r>
          </w:p>
        </w:tc>
        <w:tc>
          <w:tcPr>
            <w:vAlign w:val="center"/>
          </w:tcPr>
          <w:p>
            <w:r>
              <w:rPr>
                <w:rFonts w:ascii="Times New Roman" w:cs="Times New Roman" w:eastAsia="Times New Roman" w:hAnsi="Times New Roman"/>
                <w:b w:val="false"/>
                <w:bCs w:val="false"/>
                <w:color w:val="000000"/>
                <w:sz w:val="21"/>
                <w:szCs w:val="21"/>
              </w:rPr>
              <w:t xml:space="preserve">Finance</w:t>
            </w:r>
          </w:p>
        </w:tc>
      </w:tr>
      <w:tr>
        <w:tc>
          <w:tcPr>
            <w:vAlign w:val="center"/>
          </w:tcPr>
          <w:p>
            <w:r>
              <w:rPr>
                <w:rFonts w:ascii="Times New Roman" w:cs="Times New Roman" w:eastAsia="Times New Roman" w:hAnsi="Times New Roman"/>
                <w:b w:val="false"/>
                <w:bCs w:val="false"/>
                <w:color w:val="000000"/>
                <w:sz w:val="21"/>
                <w:szCs w:val="21"/>
              </w:rPr>
              <w:t xml:space="preserve">Trùng lặp</w:t>
            </w:r>
          </w:p>
        </w:tc>
        <w:tc>
          <w:tcPr>
            <w:vAlign w:val="center"/>
          </w:tcPr>
          <w:p>
            <w:r>
              <w:rPr>
                <w:rFonts w:ascii="Times New Roman" w:cs="Times New Roman" w:eastAsia="Times New Roman" w:hAnsi="Times New Roman"/>
                <w:b w:val="false"/>
                <w:bCs w:val="false"/>
                <w:color w:val="000000"/>
                <w:sz w:val="21"/>
                <w:szCs w:val="21"/>
              </w:rPr>
              <w:t xml:space="preserve">Một giao dịch xuất hiện nhiều lần</w:t>
            </w:r>
          </w:p>
        </w:tc>
        <w:tc>
          <w:tcPr>
            <w:vAlign w:val="center"/>
          </w:tcPr>
          <w:p>
            <w:r>
              <w:rPr>
                <w:rFonts w:ascii="Times New Roman" w:cs="Times New Roman" w:eastAsia="Times New Roman" w:hAnsi="Times New Roman"/>
                <w:b w:val="false"/>
                <w:bCs w:val="false"/>
                <w:color w:val="000000"/>
                <w:sz w:val="21"/>
                <w:szCs w:val="21"/>
              </w:rPr>
              <w:t xml:space="preserve">Trong ngày phát hiện</w:t>
            </w:r>
          </w:p>
        </w:tc>
        <w:tc>
          <w:tcPr>
            <w:vAlign w:val="center"/>
          </w:tcPr>
          <w:p>
            <w:r>
              <w:rPr>
                <w:rFonts w:ascii="Times New Roman" w:cs="Times New Roman" w:eastAsia="Times New Roman" w:hAnsi="Times New Roman"/>
                <w:b w:val="false"/>
                <w:bCs w:val="false"/>
                <w:color w:val="000000"/>
                <w:sz w:val="21"/>
                <w:szCs w:val="21"/>
              </w:rPr>
              <w:t xml:space="preserve">Engineering</w:t>
            </w:r>
          </w:p>
        </w:tc>
      </w:tr>
    </w:tbl>
    <w:p/>
    <w:p>
      <w:pPr>
        <w:pStyle w:val="Heading1"/>
      </w:pPr>
      <w:r>
        <w:t xml:space="preserve">6. Nguyên tắc xử lý ưu tiên khách hàng</w:t>
      </w:r>
    </w:p>
    <w:p>
      <w:pPr>
        <w:spacing w:after="120"/>
      </w:pPr>
      <w:r>
        <w:rPr>
          <w:rFonts w:ascii="Times New Roman" w:cs="Times New Roman" w:eastAsia="Times New Roman" w:hAnsi="Times New Roman"/>
        </w:rPr>
        <w:t xml:space="preserve">Trong mọi trường hợp chênh lệch mà khách hàng đã bị trừ tiền nhưng chưa nhận được giá trị tương ứng, ManhPay thực hiện cộng tiền tạm ứng cho khách hàng trong vòng 24 giờ, sau đó tiếp tục làm việc với đối tác để thu hồi. Nguyên tắc này nhằm bảo vệ trải nghiệm và niềm tin của khách hàng, phù hợp cam kết nêu tại FAQ-001 câu 4.</w:t>
      </w:r>
    </w:p>
    <w:p>
      <w:pPr>
        <w:pStyle w:val="Heading1"/>
      </w:pPr>
      <w:r>
        <w:t xml:space="preserve">7. Chỉ số vận hành (SLA)</w:t>
      </w:r>
    </w:p>
    <w:p>
      <w:pPr>
        <w:pStyle w:val="ListParagraph"/>
        <w:numPr>
          <w:ilvl w:val="0"/>
          <w:numId w:val="1"/>
        </w:numPr>
      </w:pPr>
      <w:r>
        <w:rPr>
          <w:rFonts w:ascii="Times New Roman" w:cs="Times New Roman" w:eastAsia="Times New Roman" w:hAnsi="Times New Roman"/>
        </w:rPr>
        <w:t xml:space="preserve">Tỷ lệ giao dịch khớp tự động (auto-match rate): mục tiêu trên 99.5%.</w:t>
      </w:r>
    </w:p>
    <w:p>
      <w:pPr>
        <w:pStyle w:val="ListParagraph"/>
        <w:numPr>
          <w:ilvl w:val="0"/>
          <w:numId w:val="1"/>
        </w:numPr>
      </w:pPr>
      <w:r>
        <w:rPr>
          <w:rFonts w:ascii="Times New Roman" w:cs="Times New Roman" w:eastAsia="Times New Roman" w:hAnsi="Times New Roman"/>
        </w:rPr>
        <w:t xml:space="preserve">Thời gian xử lý xong toàn bộ chênh lệch trong ngày: trước 17:00 ngày làm việc kế tiếp.</w:t>
      </w:r>
    </w:p>
    <w:p>
      <w:pPr>
        <w:pStyle w:val="ListParagraph"/>
        <w:numPr>
          <w:ilvl w:val="0"/>
          <w:numId w:val="1"/>
        </w:numPr>
      </w:pPr>
      <w:r>
        <w:rPr>
          <w:rFonts w:ascii="Times New Roman" w:cs="Times New Roman" w:eastAsia="Times New Roman" w:hAnsi="Times New Roman"/>
        </w:rPr>
        <w:t xml:space="preserve">Tỷ lệ chênh lệch tồn đọng quá 5 ngày làm việc: bằng 0.</w:t>
      </w:r>
    </w:p>
    <w:p>
      <w:pPr>
        <w:pStyle w:val="Heading1"/>
      </w:pPr>
      <w:r>
        <w:t xml:space="preserve">8. Lịch sử thay đổi</w:t>
      </w:r>
    </w:p>
    <w:p>
      <w:pPr>
        <w:pStyle w:val="ListParagraph"/>
        <w:numPr>
          <w:ilvl w:val="0"/>
          <w:numId w:val="1"/>
        </w:numPr>
      </w:pPr>
      <w:r>
        <w:rPr>
          <w:rFonts w:ascii="Times New Roman" w:cs="Times New Roman" w:eastAsia="Times New Roman" w:hAnsi="Times New Roman"/>
        </w:rPr>
        <w:t xml:space="preserve">v1.0 (2025-04-01): Khởi tạo quy trình đối soát thủ công.</w:t>
      </w:r>
    </w:p>
    <w:p>
      <w:pPr>
        <w:pStyle w:val="ListParagraph"/>
        <w:numPr>
          <w:ilvl w:val="0"/>
          <w:numId w:val="1"/>
        </w:numPr>
      </w:pPr>
      <w:r>
        <w:rPr>
          <w:rFonts w:ascii="Times New Roman" w:cs="Times New Roman" w:eastAsia="Times New Roman" w:hAnsi="Times New Roman"/>
        </w:rPr>
        <w:t xml:space="preserve">v1.5 (2025-10-15): Triển khai đối soát tự động hàng ngày.</w:t>
      </w:r>
    </w:p>
    <w:p>
      <w:pPr>
        <w:pStyle w:val="ListParagraph"/>
        <w:numPr>
          <w:ilvl w:val="0"/>
          <w:numId w:val="1"/>
        </w:numPr>
      </w:pPr>
      <w:r>
        <w:rPr>
          <w:rFonts w:ascii="Times New Roman" w:cs="Times New Roman" w:eastAsia="Times New Roman" w:hAnsi="Times New Roman"/>
        </w:rPr>
        <w:t xml:space="preserve">v2.0 (2026-03-01): Bổ sung nguyên tắc ưu tiên cộng tiền tạm ứng cho khách hàng sau sự cố INC-001.</w:t>
      </w:r>
    </w:p>
    <w:sectPr>
      <w:pgSz w:w="11907" w:h="16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2026-07-23T15:45:13.279Z</dcterms:created>
  <dcterms:modified xsi:type="dcterms:W3CDTF">2026-07-23T15:45:13.291Z</dcterms:modified>
</cp:coreProperties>
</file>

<file path=docProps/custom.xml><?xml version="1.0" encoding="utf-8"?>
<Properties xmlns="http://schemas.openxmlformats.org/officeDocument/2006/custom-properties" xmlns:vt="http://schemas.openxmlformats.org/officeDocument/2006/docPropsVTypes"/>
</file>