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Lv-00几何元语言自建公理化体系及工程实现研究</w:t>
      </w:r>
    </w:p>
    <w:p>
      <w:pPr>
        <w:spacing w:line="324" w:lineRule="auto" w:after="120"/>
      </w:pPr>
      <w:r>
        <w:rPr>
          <w:rFonts w:ascii="Times New Roman" w:hAnsi="Times New Roman" w:eastAsia="宋体"/>
          <w:b/>
          <w:sz w:val="24"/>
        </w:rPr>
        <w:t>摘  要</w:t>
      </w:r>
    </w:p>
    <w:p>
      <w:pPr>
        <w:spacing w:line="324" w:lineRule="auto" w:after="120"/>
        <w:ind w:firstLine="480"/>
      </w:pPr>
      <w:r>
        <w:rPr>
          <w:rFonts w:ascii="Times New Roman" w:hAnsi="Times New Roman" w:eastAsia="宋体"/>
          <w:b w:val="0"/>
          <w:sz w:val="24"/>
        </w:rPr>
        <w:t>Lv-00几何元语言是一套面向平面几何对象、约束关系、自动推理与证明输出的自研原创公理化体系。与传统欧式几何公理化路线不同，Lv-00不以希尔伯特公理、塔尔斯基公理或既有欧氏公理体系作为底层证明依据，而是以自建几何本体、自建本原谓词、自建基础公理、自建多策略推理引擎和自建约束拓扑归一化内核为核心，形成从几何构造到计算程序再到形式证明的统一表达框架。本文在既定“完整版整改报告书”框架基础上，围绕五层分层架构、三元本体结构、六条本原谓词、八条基础公理、多策略自动推理层和约束拓扑规约层展开系统论证，并结合当前项目README、语言规范、五层架构规范、约束图文档、归一化文档、证明系统文档、公理包机制、CMake分层组织和测试结果，对理论结构与工程实现之间的映射关系进行分析。研究认为，Lv-00的理论成立性主要来自体系内部的自洽性、独立性、相容性、可执行性和可追溯性，而非外来公理系统的移植。该体系能够为平面几何形式化表达、约束建模、构造即证明、证明链生成和后续论文级理论深化提供稳定基础。</w:t>
      </w:r>
    </w:p>
    <w:p>
      <w:pPr>
        <w:spacing w:line="324" w:lineRule="auto" w:after="120"/>
      </w:pPr>
      <w:r>
        <w:rPr>
          <w:rFonts w:ascii="Times New Roman" w:hAnsi="Times New Roman" w:eastAsia="宋体"/>
          <w:b w:val="0"/>
          <w:sz w:val="24"/>
        </w:rPr>
        <w:t>关键词：Lv-00；几何元语言；自建公理体系；约束拓扑归一化；多策略推理；形式化证明；构造即证明</w:t>
      </w:r>
    </w:p>
    <w:p>
      <w:pPr>
        <w:spacing w:line="288" w:lineRule="auto" w:after="160"/>
      </w:pPr>
      <w:r>
        <w:rPr>
          <w:rFonts w:ascii="Times New Roman" w:hAnsi="Times New Roman" w:eastAsia="黑体"/>
          <w:b/>
          <w:sz w:val="30"/>
        </w:rPr>
        <w:t>一、绪论</w:t>
      </w:r>
    </w:p>
    <w:p>
      <w:pPr>
        <w:spacing w:line="288" w:lineRule="auto" w:after="160"/>
      </w:pPr>
      <w:r>
        <w:rPr>
          <w:rFonts w:ascii="Times New Roman" w:hAnsi="Times New Roman" w:eastAsia="黑体"/>
          <w:b/>
          <w:sz w:val="26"/>
        </w:rPr>
        <w:t>1.1 研究背景</w:t>
      </w:r>
    </w:p>
    <w:p>
      <w:pPr>
        <w:spacing w:line="324" w:lineRule="auto" w:after="120"/>
        <w:ind w:firstLine="480"/>
      </w:pPr>
      <w:r>
        <w:rPr>
          <w:rFonts w:ascii="Times New Roman" w:hAnsi="Times New Roman" w:eastAsia="宋体"/>
          <w:b w:val="0"/>
          <w:sz w:val="24"/>
        </w:rPr>
        <w:t>平面几何是数学公理化、符号计算、自动推理与教育软件系统中的重要研究对象。传统几何研究通常从欧氏几何、公理化基础、解析坐标和定理证明等路径展开，在数学严谨性和理论完备性方面积累了大量成果。然而，当几何理论进入计算机系统后，仅有自然语言命题或传统公理文本并不足以支撑自动化处理。工程系统需要明确的对象类型、稳定的关系接口、可执行的规则结构、可归一化的数据形态和可追溯的证明输出。</w:t>
      </w:r>
    </w:p>
    <w:p>
      <w:pPr>
        <w:spacing w:line="324" w:lineRule="auto" w:after="120"/>
        <w:ind w:firstLine="480"/>
      </w:pPr>
      <w:r>
        <w:rPr>
          <w:rFonts w:ascii="Times New Roman" w:hAnsi="Times New Roman" w:eastAsia="宋体"/>
          <w:b w:val="0"/>
          <w:sz w:val="24"/>
        </w:rPr>
        <w:t>Lv-00几何元语言正面向这一需求提出。项目README明确指出，Lv-00不是普通几何工具库，不是单纯自动证明器，也不是依附外部证明器的数学库，而是一种将几何构造、计算程序和一阶逻辑证明统一于同一语法体系的元语言。在该体系中，几何体不仅是图形实体，也是程序执行单元、数据承载对象和证明见证结构。这一定位决定了Lv-00必须具有独立的理论基础和工程架构，不能简单通过套用传统欧式公理来解释其合法性。</w:t>
      </w:r>
    </w:p>
    <w:p>
      <w:pPr>
        <w:spacing w:line="288" w:lineRule="auto" w:after="160"/>
      </w:pPr>
      <w:r>
        <w:rPr>
          <w:rFonts w:ascii="Times New Roman" w:hAnsi="Times New Roman" w:eastAsia="黑体"/>
          <w:b/>
          <w:sz w:val="26"/>
        </w:rPr>
        <w:t>1.2 研究对象与目标</w:t>
      </w:r>
    </w:p>
    <w:p>
      <w:pPr>
        <w:spacing w:line="324" w:lineRule="auto" w:after="120"/>
        <w:ind w:firstLine="480"/>
      </w:pPr>
      <w:r>
        <w:rPr>
          <w:rFonts w:ascii="Times New Roman" w:hAnsi="Times New Roman" w:eastAsia="宋体"/>
          <w:b w:val="0"/>
          <w:sz w:val="24"/>
        </w:rPr>
        <w:t>本文研究对象是Lv-00几何元语言的自建公理化体系及其工程实现对应关系。研究目标包括：其一，明确Lv-00作为自研原创平面几何公理化体系的基础定性；其二，补全三元本体结构、六条本原谓词和八条基础公理的理论依据；其三，分析五层分层架构、多策略推理引擎和约束拓扑归一化内核的机理；其四，结合项目源码组织和工程文档说明理论与代码之间的双向映射；其五，建立自洽性、独立性、相容性和可追溯性的验证框架。</w:t>
      </w:r>
    </w:p>
    <w:p>
      <w:pPr>
        <w:spacing w:line="288" w:lineRule="auto" w:after="160"/>
      </w:pPr>
      <w:r>
        <w:rPr>
          <w:rFonts w:ascii="Times New Roman" w:hAnsi="Times New Roman" w:eastAsia="黑体"/>
          <w:b/>
          <w:sz w:val="26"/>
        </w:rPr>
        <w:t>1.3 研究方法与技术路线</w:t>
      </w:r>
    </w:p>
    <w:p>
      <w:pPr>
        <w:spacing w:line="324" w:lineRule="auto" w:after="120"/>
        <w:ind w:firstLine="480"/>
      </w:pPr>
      <w:r>
        <w:rPr>
          <w:rFonts w:ascii="Times New Roman" w:hAnsi="Times New Roman" w:eastAsia="宋体"/>
          <w:b w:val="0"/>
          <w:sz w:val="24"/>
        </w:rPr>
        <w:t>本文采用形式化系统分析、工程文档对照、架构分层映射和验证闭环分析相结合的方法。首先从项目定位和理论边界出发，排除将外部传统公理体系作为底层依据的解释路径；其次按照“对象—关系—公理—约束—推理—输出”的逻辑展开，构造Lv-00内部理论链条；再次依据项目中的语言规范、约束图文档、归一化文档、证明系统文档、CMake层级组织和测试结果，分析理论模块在工程中的实现落点；最后提出体系验证与后续改进方向。</w:t>
      </w:r>
    </w:p>
    <w:p>
      <w:pPr>
        <w:spacing w:line="288" w:lineRule="auto" w:after="160"/>
      </w:pPr>
      <w:r>
        <w:rPr>
          <w:rFonts w:ascii="Times New Roman" w:hAnsi="Times New Roman" w:eastAsia="黑体"/>
          <w:b/>
          <w:sz w:val="30"/>
        </w:rPr>
        <w:t>二、国内外研究现状与理论边界</w:t>
      </w:r>
    </w:p>
    <w:p>
      <w:pPr>
        <w:spacing w:line="288" w:lineRule="auto" w:after="160"/>
      </w:pPr>
      <w:r>
        <w:rPr>
          <w:rFonts w:ascii="Times New Roman" w:hAnsi="Times New Roman" w:eastAsia="黑体"/>
          <w:b/>
          <w:sz w:val="26"/>
        </w:rPr>
        <w:t>2.1 传统几何公理化研究的参照意义</w:t>
      </w:r>
    </w:p>
    <w:p>
      <w:pPr>
        <w:spacing w:line="324" w:lineRule="auto" w:after="120"/>
        <w:ind w:firstLine="480"/>
      </w:pPr>
      <w:r>
        <w:rPr>
          <w:rFonts w:ascii="Times New Roman" w:hAnsi="Times New Roman" w:eastAsia="宋体"/>
          <w:b w:val="0"/>
          <w:sz w:val="24"/>
        </w:rPr>
        <w:t>传统几何公理化体系为形式化几何研究提供了重要参照。希尔伯特式体系强调几何对象和关系的严密公理化组织，塔尔斯基式体系强调一阶逻辑表达和模型论处理，解析几何则通过坐标化方式将几何问题转化为代数问题。这些路径在数学基础研究和自动证明中具有较高价值，但它们并不直接构成Lv-00的底层依据。对Lv-00而言，传统体系只能作为背景参照，用于说明几何形式化的一般问题，而不能作为证明Lv-00内部公理成立的外部权威。</w:t>
      </w:r>
    </w:p>
    <w:p>
      <w:pPr>
        <w:spacing w:line="288" w:lineRule="auto" w:after="160"/>
      </w:pPr>
      <w:r>
        <w:rPr>
          <w:rFonts w:ascii="Times New Roman" w:hAnsi="Times New Roman" w:eastAsia="黑体"/>
          <w:b/>
          <w:sz w:val="26"/>
        </w:rPr>
        <w:t>2.2 计算几何与自动证明系统的启示</w:t>
      </w:r>
    </w:p>
    <w:p>
      <w:pPr>
        <w:spacing w:line="324" w:lineRule="auto" w:after="120"/>
        <w:ind w:firstLine="480"/>
      </w:pPr>
      <w:r>
        <w:rPr>
          <w:rFonts w:ascii="Times New Roman" w:hAnsi="Times New Roman" w:eastAsia="宋体"/>
          <w:b w:val="0"/>
          <w:sz w:val="24"/>
        </w:rPr>
        <w:t>计算几何系统通常关注几何对象的数据结构、算法复杂度和数值鲁棒性；自动证明系统则关注逻辑规则、证明搜索和定理复核。二者分别解决“如何计算”和“如何证明”的问题，但往往难以在同一语言中统一几何构造、计算过程和证明对象。Lv-00的特殊性在于以几何为唯一载体，将对象声明、约束建模、代数计算、逻辑命题和证明输出同时纳入元语言框架。API使用指南中以“概念—模型—示例—复杂度”的方式组织符号坐标、约束图、归一化、求解器、重写、合一、函数块、类型系统和证明系统，也说明其工程目标不仅是几何计算，而是几何语义的统一承载。</w:t>
      </w:r>
    </w:p>
    <w:p>
      <w:pPr>
        <w:spacing w:line="288" w:lineRule="auto" w:after="160"/>
      </w:pPr>
      <w:r>
        <w:rPr>
          <w:rFonts w:ascii="Times New Roman" w:hAnsi="Times New Roman" w:eastAsia="黑体"/>
          <w:b/>
          <w:sz w:val="26"/>
        </w:rPr>
        <w:t>2.3 Lv-00的原创边界</w:t>
      </w:r>
    </w:p>
    <w:p>
      <w:pPr>
        <w:spacing w:line="324" w:lineRule="auto" w:after="120"/>
        <w:ind w:firstLine="480"/>
      </w:pPr>
      <w:r>
        <w:rPr>
          <w:rFonts w:ascii="Times New Roman" w:hAnsi="Times New Roman" w:eastAsia="宋体"/>
          <w:b w:val="0"/>
          <w:sz w:val="24"/>
        </w:rPr>
        <w:t>Lv-00的原创性不应理解为完全脱离数学传统，而应理解为在系统底层不继承外部公理体系作为证明前提。它可以吸收工程组织、类型系统、约束求解和证明追踪等思想，但具体的几何本体、关系谓词、公理规则、推理调度和归一化机制均应依据自身框架定义。项目中的公理包系统虽然包含欧氏平面、双曲几何、集合论、群论等可插拔资源，但这些公理包属于可加载理论生态，不等同于Lv-00内核的唯一理论根基。</w:t>
      </w:r>
    </w:p>
    <w:p>
      <w:pPr>
        <w:spacing w:line="288" w:lineRule="auto" w:after="160"/>
      </w:pPr>
      <w:r>
        <w:rPr>
          <w:rFonts w:ascii="Times New Roman" w:hAnsi="Times New Roman" w:eastAsia="黑体"/>
          <w:b/>
          <w:sz w:val="30"/>
        </w:rPr>
        <w:t>三、Lv-00自建公理化体系的总体框架</w:t>
      </w:r>
    </w:p>
    <w:p>
      <w:pPr>
        <w:spacing w:line="288" w:lineRule="auto" w:after="160"/>
      </w:pPr>
      <w:r>
        <w:rPr>
          <w:rFonts w:ascii="Times New Roman" w:hAnsi="Times New Roman" w:eastAsia="黑体"/>
          <w:b/>
          <w:sz w:val="26"/>
        </w:rPr>
        <w:t>3.1 项目基础定性</w:t>
      </w:r>
    </w:p>
    <w:p>
      <w:pPr>
        <w:spacing w:line="324" w:lineRule="auto" w:after="120"/>
        <w:ind w:firstLine="480"/>
      </w:pPr>
      <w:r>
        <w:rPr>
          <w:rFonts w:ascii="Times New Roman" w:hAnsi="Times New Roman" w:eastAsia="宋体"/>
          <w:b w:val="0"/>
          <w:sz w:val="24"/>
        </w:rPr>
        <w:t>Lv-00的基础定性是自研原创平面几何公理化体系。该定性包含三层含义。第一，研究对象限定于几何元语言层面的对象、关系、规则和推理过程，而非对传统几何教材命题的自然语言重述。第二，理论底层以自建几何公理体系为核心，不以外部传统公理作为推导前提。第三，系统不仅要求理论表达成立，还要求公理、约束、推理和证明能够在工程上被执行、记录和验证。</w:t>
      </w:r>
    </w:p>
    <w:p>
      <w:pPr>
        <w:spacing w:line="288" w:lineRule="auto" w:after="160"/>
      </w:pPr>
      <w:r>
        <w:rPr>
          <w:rFonts w:ascii="Times New Roman" w:hAnsi="Times New Roman" w:eastAsia="黑体"/>
          <w:b/>
          <w:sz w:val="26"/>
        </w:rPr>
        <w:t>3.2 理论闭环</w:t>
      </w:r>
    </w:p>
    <w:p>
      <w:pPr>
        <w:spacing w:line="324" w:lineRule="auto" w:after="120"/>
        <w:ind w:firstLine="480"/>
      </w:pPr>
      <w:r>
        <w:rPr>
          <w:rFonts w:ascii="Times New Roman" w:hAnsi="Times New Roman" w:eastAsia="宋体"/>
          <w:b w:val="0"/>
          <w:sz w:val="24"/>
        </w:rPr>
        <w:t>Lv-00的理论闭环可概括为：三元本体结构定义对象基础，六条本原谓词定义关系接口，八条基础公理定义规则约束，约束拓扑归一化内核定义结构规范化方式，多策略推理引擎定义自动推导路径，输出证明编译层定义证明结果表达方式，自洽性、独立性与相容性验证定义体系合法性标准。该闭环说明Lv-00的理论支撑来自内部结构的连续配合，而不是外部公理体系的直接授权。</w:t>
      </w:r>
    </w:p>
    <w:p>
      <w:pPr>
        <w:spacing w:line="288" w:lineRule="auto" w:after="160"/>
      </w:pPr>
      <w:r>
        <w:rPr>
          <w:rFonts w:ascii="Times New Roman" w:hAnsi="Times New Roman" w:eastAsia="黑体"/>
          <w:b/>
          <w:sz w:val="26"/>
        </w:rPr>
        <w:t>3.3 工程闭环</w:t>
      </w:r>
    </w:p>
    <w:p>
      <w:pPr>
        <w:spacing w:line="324" w:lineRule="auto" w:after="120"/>
        <w:ind w:firstLine="480"/>
      </w:pPr>
      <w:r>
        <w:rPr>
          <w:rFonts w:ascii="Times New Roman" w:hAnsi="Times New Roman" w:eastAsia="宋体"/>
          <w:b w:val="0"/>
          <w:sz w:val="24"/>
        </w:rPr>
        <w:t>从工程角度看，Lv-00的闭环可表示为：源文本经词法语法解析形成Token、AST和Typed IR；Typed IR进入几何公理层，绑定几何实体、基础关系和公理包；约束拓扑层将几何事实组织为约束图，并执行归一化、等价合并、冗余剔除和相容检测；多策略推理层基于公理和约束系统执行证明搜索、重写、合一、代数化简和后端验证；输出证明编译层将Proof Object、ProofStep和推理轨迹转化为可读、可导出、可复核的证明材料。</w:t>
      </w:r>
    </w:p>
    <w:p>
      <w:pPr>
        <w:spacing w:line="288" w:lineRule="auto" w:after="160"/>
      </w:pPr>
      <w:r>
        <w:rPr>
          <w:rFonts w:ascii="Times New Roman" w:hAnsi="Times New Roman" w:eastAsia="黑体"/>
          <w:b/>
          <w:sz w:val="30"/>
        </w:rPr>
        <w:t>四、三元本体结构的理论依据</w:t>
      </w:r>
    </w:p>
    <w:p>
      <w:pPr>
        <w:spacing w:line="324" w:lineRule="auto" w:after="120"/>
        <w:ind w:firstLine="480"/>
      </w:pPr>
      <w:r>
        <w:rPr>
          <w:rFonts w:ascii="Times New Roman" w:hAnsi="Times New Roman" w:eastAsia="宋体"/>
          <w:b w:val="0"/>
          <w:sz w:val="24"/>
        </w:rPr>
        <w:t>三元本体结构是Lv-00对象层的基础，用于回答系统中“什么对象能够被讨论”的问题。本文沿用既定框架，将其概括为点、线、域三个基础维度。点是最小位置单元，线是对象间延展与连接结构，域是局部几何结构、约束作用范围和推理上下文。三者构成从微观对象到局部结构的递进关系。</w:t>
      </w:r>
    </w:p>
    <w:p>
      <w:pPr>
        <w:spacing w:line="324" w:lineRule="auto" w:after="120"/>
        <w:ind w:firstLine="480"/>
      </w:pPr>
      <w:r>
        <w:rPr>
          <w:rFonts w:ascii="Times New Roman" w:hAnsi="Times New Roman" w:eastAsia="宋体"/>
          <w:b w:val="0"/>
          <w:sz w:val="24"/>
        </w:rPr>
        <w:t>点类本体的理论依据在于，平面几何推理必须具有可标识、可约束、可比较的基本位置对象。项目约束图文档中GeomNode结构包含全局唯一ID、节点类型、符号坐标数组、命名空间深度、所属函数块和信任颜色等字段，说明点不仅是图形位置，也是在约束图中可索引、可归一化、可参与证明的实体。</w:t>
      </w:r>
    </w:p>
    <w:p>
      <w:pPr>
        <w:spacing w:line="324" w:lineRule="auto" w:after="120"/>
        <w:ind w:firstLine="480"/>
      </w:pPr>
      <w:r>
        <w:rPr>
          <w:rFonts w:ascii="Times New Roman" w:hAnsi="Times New Roman" w:eastAsia="宋体"/>
          <w:b w:val="0"/>
          <w:sz w:val="24"/>
        </w:rPr>
        <w:t>线类本体的理论依据在于，几何关系需要通过连接结构表达。在线段、直线、边界、连接器等工程形态中，线类对象承担点间关系组织、相交关系表达、边界形成和约束传播功能。域类本体则进一步解决复杂结构的作用范围问题，可对应区域、函数块、命题模式中的前置条件区域和后置条件区域。由此，三元本体结构为后续谓词绑定、公理触发和归一化处理提供了统一对象基础。</w:t>
      </w:r>
    </w:p>
    <w:p>
      <w:pPr>
        <w:spacing w:line="288" w:lineRule="auto" w:after="160"/>
      </w:pPr>
      <w:r>
        <w:rPr>
          <w:rFonts w:ascii="Times New Roman" w:hAnsi="Times New Roman" w:eastAsia="黑体"/>
          <w:b/>
          <w:sz w:val="30"/>
        </w:rPr>
        <w:t>五、六条本原谓词的理论依据</w:t>
      </w:r>
    </w:p>
    <w:p>
      <w:pPr>
        <w:spacing w:line="324" w:lineRule="auto" w:after="120"/>
        <w:ind w:firstLine="480"/>
      </w:pPr>
      <w:r>
        <w:rPr>
          <w:rFonts w:ascii="Times New Roman" w:hAnsi="Times New Roman" w:eastAsia="宋体"/>
          <w:b w:val="0"/>
          <w:sz w:val="24"/>
        </w:rPr>
        <w:t>本原谓词是Lv-00关系层的核心，用于回答对象之间“如何发生几何关系”的问题。六条本原谓词应具有最小充分性、类型约束性和语义封闭性。所谓最小充分性，是指谓词集合既不能少到无法支撑基础公理和约束推理，也不能多到产生语义重叠和工程冗余。所谓类型约束性，是指谓词参数必须来自合法本体对象，不能将几何对象、度量值、逻辑命题和证明对象混用。所谓语义封闭性，是指系统内的基础关系表达应由本原谓词及其组合完成，不能在公理或推理规则中随意引入未定义关系。</w:t>
      </w:r>
    </w:p>
    <w:p>
      <w:pPr>
        <w:spacing w:line="324" w:lineRule="auto" w:after="120"/>
        <w:ind w:firstLine="480"/>
      </w:pPr>
      <w:r>
        <w:rPr>
          <w:rFonts w:ascii="Times New Roman" w:hAnsi="Times New Roman" w:eastAsia="宋体"/>
          <w:b w:val="0"/>
          <w:sz w:val="24"/>
        </w:rPr>
        <w:t>工程文档对这一思想有明确支撑。约束图核心将内核关系收敛为关联、之间、相交、包含、连接等基本关系，并强调公理中立，不直接内建距离、角度等复杂语义。语言规范则要求所有标识符绑定到确定类型，几何实体、度量值、命题和证明对象不可隐式混用。这说明Lv-00的谓词系统不是开放式自然语言集合，而是进入约束图、推理规则和归一化内核的稳定接口。</w:t>
      </w:r>
    </w:p>
    <w:p>
      <w:pPr>
        <w:spacing w:line="288" w:lineRule="auto" w:after="160"/>
      </w:pPr>
      <w:r>
        <w:rPr>
          <w:rFonts w:ascii="Times New Roman" w:hAnsi="Times New Roman" w:eastAsia="黑体"/>
          <w:b/>
          <w:sz w:val="30"/>
        </w:rPr>
        <w:t>六、八条基础公理的理论依据</w:t>
      </w:r>
    </w:p>
    <w:p>
      <w:pPr>
        <w:spacing w:line="324" w:lineRule="auto" w:after="120"/>
        <w:ind w:firstLine="480"/>
      </w:pPr>
      <w:r>
        <w:rPr>
          <w:rFonts w:ascii="Times New Roman" w:hAnsi="Times New Roman" w:eastAsia="宋体"/>
          <w:b w:val="0"/>
          <w:sz w:val="24"/>
        </w:rPr>
        <w:t>八条基础公理构成Lv-00规则层的核心，用于回答“哪些基础结构合法、哪些基础推导允许成立”的问题。这些公理不是传统欧氏公理的简单移植，而是在三元本体和六条本原谓词基础上形成的内部约束规则。每条公理都应具有明确前提、适用对象、关系表达和推理后果，并能在工程上转化为可执行规则模板。</w:t>
      </w:r>
    </w:p>
    <w:p>
      <w:pPr>
        <w:spacing w:line="324" w:lineRule="auto" w:after="120"/>
        <w:ind w:firstLine="480"/>
      </w:pPr>
      <w:r>
        <w:rPr>
          <w:rFonts w:ascii="Times New Roman" w:hAnsi="Times New Roman" w:eastAsia="宋体"/>
          <w:b w:val="0"/>
          <w:sz w:val="24"/>
        </w:rPr>
        <w:t>公理体系需要满足最小性、自洽性、独立性和相容性。最小性要求公理不重复承担同一功能；自洽性要求公理共同作用时不推出互斥结论；独立性要求移除任一基础公理后，系统失去其对应推理能力；相容性要求公理能够使用本原谓词表达，作用于合法本体对象，并将推理结果交由约束图和归一化内核处理。</w:t>
      </w:r>
    </w:p>
    <w:p>
      <w:pPr>
        <w:spacing w:line="324" w:lineRule="auto" w:after="120"/>
        <w:ind w:firstLine="480"/>
      </w:pPr>
      <w:r>
        <w:rPr>
          <w:rFonts w:ascii="Times New Roman" w:hAnsi="Times New Roman" w:eastAsia="宋体"/>
          <w:b w:val="0"/>
          <w:sz w:val="24"/>
        </w:rPr>
        <w:t>公理包系统从工程侧提供了规则管理机制。其README显示，Lv-00支持可插拔、可版本化、可校验的公理体系管理框架，具备命名空间、依赖解析、语义化版本和SHA-256完整性校验等能力。需要强调的是，公理包生态服务于理论资源管理，而自建基础公理仍是本文所论Lv-00平面几何体系的核心底层。</w:t>
      </w:r>
    </w:p>
    <w:p>
      <w:pPr>
        <w:spacing w:line="288" w:lineRule="auto" w:after="160"/>
      </w:pPr>
      <w:r>
        <w:rPr>
          <w:rFonts w:ascii="Times New Roman" w:hAnsi="Times New Roman" w:eastAsia="黑体"/>
          <w:b/>
          <w:sz w:val="30"/>
        </w:rPr>
        <w:t>七、五层分层架构设计与工程对应</w:t>
      </w:r>
    </w:p>
    <w:p>
      <w:pPr>
        <w:spacing w:line="324" w:lineRule="auto" w:after="120"/>
        <w:ind w:firstLine="480"/>
      </w:pPr>
      <w:r>
        <w:rPr>
          <w:rFonts w:ascii="Times New Roman" w:hAnsi="Times New Roman" w:eastAsia="宋体"/>
          <w:b w:val="0"/>
          <w:sz w:val="24"/>
        </w:rPr>
        <w:t>五层分层架构是Lv-00理论工程化的主干。架构规范将系统整理为词法语法解析层、基础几何公理层、约束拓扑规约层、多策略自动推理层和输出证明编译层，并提出单向依赖、语义分离、契约驱动和最小共享原则。该结构的意义在于将理论职责与工程职责严格对齐，防止解析层、约束层、推理层和输出层之间职责混杂。</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Pr>
                <w:rFonts w:ascii="Times New Roman" w:hAnsi="Times New Roman" w:eastAsia="黑体"/>
                <w:b/>
                <w:sz w:val="21"/>
              </w:rPr>
              <w:t>层级</w:t>
            </w:r>
          </w:p>
        </w:tc>
        <w:tc>
          <w:tcPr>
            <w:tcW w:type="dxa" w:w="2340"/>
            <w:vAlign w:val="center"/>
          </w:tcPr>
          <w:p>
            <w:pPr>
              <w:jc w:val="center"/>
            </w:pPr>
            <w:r>
              <w:rPr>
                <w:rFonts w:ascii="Times New Roman" w:hAnsi="Times New Roman" w:eastAsia="黑体"/>
                <w:b/>
                <w:sz w:val="21"/>
              </w:rPr>
              <w:t>理论职责</w:t>
            </w:r>
          </w:p>
        </w:tc>
        <w:tc>
          <w:tcPr>
            <w:tcW w:type="dxa" w:w="2340"/>
            <w:vAlign w:val="center"/>
          </w:tcPr>
          <w:p>
            <w:pPr>
              <w:jc w:val="center"/>
            </w:pPr>
            <w:r>
              <w:rPr>
                <w:rFonts w:ascii="Times New Roman" w:hAnsi="Times New Roman" w:eastAsia="黑体"/>
                <w:b/>
                <w:sz w:val="21"/>
              </w:rPr>
              <w:t>工程职责</w:t>
            </w:r>
          </w:p>
        </w:tc>
        <w:tc>
          <w:tcPr>
            <w:tcW w:type="dxa" w:w="2340"/>
            <w:vAlign w:val="center"/>
          </w:tcPr>
          <w:p>
            <w:pPr>
              <w:jc w:val="center"/>
            </w:pPr>
            <w:r>
              <w:rPr>
                <w:rFonts w:ascii="Times New Roman" w:hAnsi="Times New Roman" w:eastAsia="黑体"/>
                <w:b/>
                <w:sz w:val="21"/>
              </w:rPr>
              <w:t>边界要求</w:t>
            </w:r>
          </w:p>
        </w:tc>
      </w:tr>
      <w:tr>
        <w:tc>
          <w:tcPr>
            <w:tcW w:type="dxa" w:w="2340"/>
            <w:vAlign w:val="center"/>
          </w:tcPr>
          <w:p>
            <w:pPr>
              <w:spacing w:line="276" w:lineRule="auto" w:after="40"/>
            </w:pPr>
            <w:r>
              <w:rPr>
                <w:rFonts w:ascii="Times New Roman" w:hAnsi="Times New Roman" w:eastAsia="宋体"/>
                <w:b w:val="0"/>
                <w:sz w:val="21"/>
              </w:rPr>
              <w:t>词法语法解析层</w:t>
            </w:r>
          </w:p>
        </w:tc>
        <w:tc>
          <w:tcPr>
            <w:tcW w:type="dxa" w:w="2340"/>
            <w:vAlign w:val="center"/>
          </w:tcPr>
          <w:p>
            <w:pPr>
              <w:spacing w:line="276" w:lineRule="auto" w:after="40"/>
            </w:pPr>
            <w:r>
              <w:rPr>
                <w:rFonts w:ascii="Times New Roman" w:hAnsi="Times New Roman" w:eastAsia="宋体"/>
                <w:b w:val="0"/>
                <w:sz w:val="21"/>
              </w:rPr>
              <w:t>建立源语言到Typed IR的形式输入</w:t>
            </w:r>
          </w:p>
        </w:tc>
        <w:tc>
          <w:tcPr>
            <w:tcW w:type="dxa" w:w="2340"/>
            <w:vAlign w:val="center"/>
          </w:tcPr>
          <w:p>
            <w:pPr>
              <w:spacing w:line="276" w:lineRule="auto" w:after="40"/>
            </w:pPr>
            <w:r>
              <w:rPr>
                <w:rFonts w:ascii="Times New Roman" w:hAnsi="Times New Roman" w:eastAsia="宋体"/>
                <w:b w:val="0"/>
                <w:sz w:val="21"/>
              </w:rPr>
              <w:t>lexer、parser、symbol_table、type_checker</w:t>
            </w:r>
          </w:p>
        </w:tc>
        <w:tc>
          <w:tcPr>
            <w:tcW w:type="dxa" w:w="2340"/>
            <w:vAlign w:val="center"/>
          </w:tcPr>
          <w:p>
            <w:pPr>
              <w:spacing w:line="276" w:lineRule="auto" w:after="40"/>
            </w:pPr>
            <w:r>
              <w:rPr>
                <w:rFonts w:ascii="Times New Roman" w:hAnsi="Times New Roman" w:eastAsia="宋体"/>
                <w:b w:val="0"/>
                <w:sz w:val="21"/>
              </w:rPr>
              <w:t>只输出AST/Typed IR，不执行证明和归一化</w:t>
            </w:r>
          </w:p>
        </w:tc>
      </w:tr>
      <w:tr>
        <w:tc>
          <w:tcPr>
            <w:tcW w:type="dxa" w:w="2340"/>
            <w:vAlign w:val="center"/>
          </w:tcPr>
          <w:p>
            <w:pPr>
              <w:spacing w:line="276" w:lineRule="auto" w:after="40"/>
            </w:pPr>
            <w:r>
              <w:rPr>
                <w:rFonts w:ascii="Times New Roman" w:hAnsi="Times New Roman" w:eastAsia="宋体"/>
                <w:b w:val="0"/>
                <w:sz w:val="21"/>
              </w:rPr>
              <w:t>基础几何公理层</w:t>
            </w:r>
          </w:p>
        </w:tc>
        <w:tc>
          <w:tcPr>
            <w:tcW w:type="dxa" w:w="2340"/>
            <w:vAlign w:val="center"/>
          </w:tcPr>
          <w:p>
            <w:pPr>
              <w:spacing w:line="276" w:lineRule="auto" w:after="40"/>
            </w:pPr>
            <w:r>
              <w:rPr>
                <w:rFonts w:ascii="Times New Roman" w:hAnsi="Times New Roman" w:eastAsia="宋体"/>
                <w:b w:val="0"/>
                <w:sz w:val="21"/>
              </w:rPr>
              <w:t>定义本体、度量关系和基础公理</w:t>
            </w:r>
          </w:p>
        </w:tc>
        <w:tc>
          <w:tcPr>
            <w:tcW w:type="dxa" w:w="2340"/>
            <w:vAlign w:val="center"/>
          </w:tcPr>
          <w:p>
            <w:pPr>
              <w:spacing w:line="276" w:lineRule="auto" w:after="40"/>
            </w:pPr>
            <w:r>
              <w:rPr>
                <w:rFonts w:ascii="Times New Roman" w:hAnsi="Times New Roman" w:eastAsia="宋体"/>
                <w:b w:val="0"/>
                <w:sz w:val="21"/>
              </w:rPr>
              <w:t>geometry_ontology、metric_relations、axiom_package</w:t>
            </w:r>
          </w:p>
        </w:tc>
        <w:tc>
          <w:tcPr>
            <w:tcW w:type="dxa" w:w="2340"/>
            <w:vAlign w:val="center"/>
          </w:tcPr>
          <w:p>
            <w:pPr>
              <w:spacing w:line="276" w:lineRule="auto" w:after="40"/>
            </w:pPr>
            <w:r>
              <w:rPr>
                <w:rFonts w:ascii="Times New Roman" w:hAnsi="Times New Roman" w:eastAsia="宋体"/>
                <w:b w:val="0"/>
                <w:sz w:val="21"/>
              </w:rPr>
              <w:t>只声明规则和前置条件，不进行搜索输出</w:t>
            </w:r>
          </w:p>
        </w:tc>
      </w:tr>
      <w:tr>
        <w:tc>
          <w:tcPr>
            <w:tcW w:type="dxa" w:w="2340"/>
            <w:vAlign w:val="center"/>
          </w:tcPr>
          <w:p>
            <w:pPr>
              <w:spacing w:line="276" w:lineRule="auto" w:after="40"/>
            </w:pPr>
            <w:r>
              <w:rPr>
                <w:rFonts w:ascii="Times New Roman" w:hAnsi="Times New Roman" w:eastAsia="宋体"/>
                <w:b w:val="0"/>
                <w:sz w:val="21"/>
              </w:rPr>
              <w:t>约束拓扑规约层</w:t>
            </w:r>
          </w:p>
        </w:tc>
        <w:tc>
          <w:tcPr>
            <w:tcW w:type="dxa" w:w="2340"/>
            <w:vAlign w:val="center"/>
          </w:tcPr>
          <w:p>
            <w:pPr>
              <w:spacing w:line="276" w:lineRule="auto" w:after="40"/>
            </w:pPr>
            <w:r>
              <w:rPr>
                <w:rFonts w:ascii="Times New Roman" w:hAnsi="Times New Roman" w:eastAsia="宋体"/>
                <w:b w:val="0"/>
                <w:sz w:val="21"/>
              </w:rPr>
              <w:t>组织约束图并执行归一化</w:t>
            </w:r>
          </w:p>
        </w:tc>
        <w:tc>
          <w:tcPr>
            <w:tcW w:type="dxa" w:w="2340"/>
            <w:vAlign w:val="center"/>
          </w:tcPr>
          <w:p>
            <w:pPr>
              <w:spacing w:line="276" w:lineRule="auto" w:after="40"/>
            </w:pPr>
            <w:r>
              <w:rPr>
                <w:rFonts w:ascii="Times New Roman" w:hAnsi="Times New Roman" w:eastAsia="宋体"/>
                <w:b w:val="0"/>
                <w:sz w:val="21"/>
              </w:rPr>
              <w:t>constraint_graph、equivalence_merge、compatibility_check</w:t>
            </w:r>
          </w:p>
        </w:tc>
        <w:tc>
          <w:tcPr>
            <w:tcW w:type="dxa" w:w="2340"/>
            <w:vAlign w:val="center"/>
          </w:tcPr>
          <w:p>
            <w:pPr>
              <w:spacing w:line="276" w:lineRule="auto" w:after="40"/>
            </w:pPr>
            <w:r>
              <w:rPr>
                <w:rFonts w:ascii="Times New Roman" w:hAnsi="Times New Roman" w:eastAsia="宋体"/>
                <w:b w:val="0"/>
                <w:sz w:val="21"/>
              </w:rPr>
              <w:t>不生成证明文本，不依赖输出层</w:t>
            </w:r>
          </w:p>
        </w:tc>
      </w:tr>
      <w:tr>
        <w:tc>
          <w:tcPr>
            <w:tcW w:type="dxa" w:w="2340"/>
            <w:vAlign w:val="center"/>
          </w:tcPr>
          <w:p>
            <w:pPr>
              <w:spacing w:line="276" w:lineRule="auto" w:after="40"/>
            </w:pPr>
            <w:r>
              <w:rPr>
                <w:rFonts w:ascii="Times New Roman" w:hAnsi="Times New Roman" w:eastAsia="宋体"/>
                <w:b w:val="0"/>
                <w:sz w:val="21"/>
              </w:rPr>
              <w:t>多策略自动推理层</w:t>
            </w:r>
          </w:p>
        </w:tc>
        <w:tc>
          <w:tcPr>
            <w:tcW w:type="dxa" w:w="2340"/>
            <w:vAlign w:val="center"/>
          </w:tcPr>
          <w:p>
            <w:pPr>
              <w:spacing w:line="276" w:lineRule="auto" w:after="40"/>
            </w:pPr>
            <w:r>
              <w:rPr>
                <w:rFonts w:ascii="Times New Roman" w:hAnsi="Times New Roman" w:eastAsia="宋体"/>
                <w:b w:val="0"/>
                <w:sz w:val="21"/>
              </w:rPr>
              <w:t>执行推理调度和证明搜索</w:t>
            </w:r>
          </w:p>
        </w:tc>
        <w:tc>
          <w:tcPr>
            <w:tcW w:type="dxa" w:w="2340"/>
            <w:vAlign w:val="center"/>
          </w:tcPr>
          <w:p>
            <w:pPr>
              <w:spacing w:line="276" w:lineRule="auto" w:after="40"/>
            </w:pPr>
            <w:r>
              <w:rPr>
                <w:rFonts w:ascii="Times New Roman" w:hAnsi="Times New Roman" w:eastAsia="宋体"/>
                <w:b w:val="0"/>
                <w:sz w:val="21"/>
              </w:rPr>
              <w:t>engine、solver、rewrite、unify、Groebner、SMT/ATP</w:t>
            </w:r>
          </w:p>
        </w:tc>
        <w:tc>
          <w:tcPr>
            <w:tcW w:type="dxa" w:w="2340"/>
            <w:vAlign w:val="center"/>
          </w:tcPr>
          <w:p>
            <w:pPr>
              <w:spacing w:line="276" w:lineRule="auto" w:after="40"/>
            </w:pPr>
            <w:r>
              <w:rPr>
                <w:rFonts w:ascii="Times New Roman" w:hAnsi="Times New Roman" w:eastAsia="宋体"/>
                <w:b w:val="0"/>
                <w:sz w:val="21"/>
              </w:rPr>
              <w:t>生成Proof Object，不直接格式化输出</w:t>
            </w:r>
          </w:p>
        </w:tc>
      </w:tr>
      <w:tr>
        <w:tc>
          <w:tcPr>
            <w:tcW w:type="dxa" w:w="2340"/>
            <w:vAlign w:val="center"/>
          </w:tcPr>
          <w:p>
            <w:pPr>
              <w:spacing w:line="276" w:lineRule="auto" w:after="40"/>
            </w:pPr>
            <w:r>
              <w:rPr>
                <w:rFonts w:ascii="Times New Roman" w:hAnsi="Times New Roman" w:eastAsia="宋体"/>
                <w:b w:val="0"/>
                <w:sz w:val="21"/>
              </w:rPr>
              <w:t>输出证明编译层</w:t>
            </w:r>
          </w:p>
        </w:tc>
        <w:tc>
          <w:tcPr>
            <w:tcW w:type="dxa" w:w="2340"/>
            <w:vAlign w:val="center"/>
          </w:tcPr>
          <w:p>
            <w:pPr>
              <w:spacing w:line="276" w:lineRule="auto" w:after="40"/>
            </w:pPr>
            <w:r>
              <w:rPr>
                <w:rFonts w:ascii="Times New Roman" w:hAnsi="Times New Roman" w:eastAsia="宋体"/>
                <w:b w:val="0"/>
                <w:sz w:val="21"/>
              </w:rPr>
              <w:t>生成可读证明链和导出结果</w:t>
            </w:r>
          </w:p>
        </w:tc>
        <w:tc>
          <w:tcPr>
            <w:tcW w:type="dxa" w:w="2340"/>
            <w:vAlign w:val="center"/>
          </w:tcPr>
          <w:p>
            <w:pPr>
              <w:spacing w:line="276" w:lineRule="auto" w:after="40"/>
            </w:pPr>
            <w:r>
              <w:rPr>
                <w:rFonts w:ascii="Times New Roman" w:hAnsi="Times New Roman" w:eastAsia="宋体"/>
                <w:b w:val="0"/>
                <w:sz w:val="21"/>
              </w:rPr>
              <w:t>proof_export、proof_widget、tikz_export、interop</w:t>
            </w:r>
          </w:p>
        </w:tc>
        <w:tc>
          <w:tcPr>
            <w:tcW w:type="dxa" w:w="2340"/>
            <w:vAlign w:val="center"/>
          </w:tcPr>
          <w:p>
            <w:pPr>
              <w:spacing w:line="276" w:lineRule="auto" w:after="40"/>
            </w:pPr>
            <w:r>
              <w:rPr>
                <w:rFonts w:ascii="Times New Roman" w:hAnsi="Times New Roman" w:eastAsia="宋体"/>
                <w:b w:val="0"/>
                <w:sz w:val="21"/>
              </w:rPr>
              <w:t>只读证明对象，不回写推理内核</w:t>
            </w:r>
          </w:p>
        </w:tc>
      </w:tr>
    </w:tbl>
    <w:p/>
    <w:p>
      <w:pPr>
        <w:spacing w:line="324" w:lineRule="auto" w:after="120"/>
        <w:ind w:firstLine="480"/>
      </w:pPr>
      <w:r>
        <w:rPr>
          <w:rFonts w:ascii="Times New Roman" w:hAnsi="Times New Roman" w:eastAsia="宋体"/>
          <w:b w:val="0"/>
          <w:sz w:val="24"/>
        </w:rPr>
        <w:t>CMakeLists.txt中的分层target进一步体现了该设计。Layer 4被组织为公理推理层，包含engine、engine_scheduler、solver、proof、proof_multi_strategy、proof_trace、rewrite、unify、normalization、type_system、groebner_engine、smt_backend_impl、atp_backend等模块；Layer 5则包含proof_widget、tikz_export、proof_export_enhanced和interop等输出模块。该组织方式说明Lv-00并非只有理论分层文本，而是在构建系统中形成了相应边界。</w:t>
      </w:r>
    </w:p>
    <w:p>
      <w:pPr>
        <w:spacing w:line="288" w:lineRule="auto" w:after="160"/>
      </w:pPr>
      <w:r>
        <w:rPr>
          <w:rFonts w:ascii="Times New Roman" w:hAnsi="Times New Roman" w:eastAsia="黑体"/>
          <w:b/>
          <w:sz w:val="30"/>
        </w:rPr>
        <w:t>八、多策略推理引擎机理分析</w:t>
      </w:r>
    </w:p>
    <w:p>
      <w:pPr>
        <w:spacing w:line="324" w:lineRule="auto" w:after="120"/>
        <w:ind w:firstLine="480"/>
      </w:pPr>
      <w:r>
        <w:rPr>
          <w:rFonts w:ascii="Times New Roman" w:hAnsi="Times New Roman" w:eastAsia="宋体"/>
          <w:b w:val="0"/>
          <w:sz w:val="24"/>
        </w:rPr>
        <w:t>多策略推理引擎是Lv-00完成自动化证明的核心。几何证明通常同时包含结构规则、等价变换、代数化简、反证、情况分析和量词处理。单一推理策略无法覆盖这些复杂情形，因此Lv-00采用引入、消去、重写、归纳、矛盾、情况分析、泛化、特化等策略，并在更高工程层面引入正向演绎、几何性质推演、代数坐标化简、Groebner消元、布尔逻辑拆解、反证归谬、局部矛盾闭包溯源和SMT/ATP调度。</w:t>
      </w:r>
    </w:p>
    <w:p>
      <w:pPr>
        <w:spacing w:line="324" w:lineRule="auto" w:after="120"/>
        <w:ind w:firstLine="480"/>
      </w:pPr>
      <w:r>
        <w:rPr>
          <w:rFonts w:ascii="Times New Roman" w:hAnsi="Times New Roman" w:eastAsia="宋体"/>
          <w:b w:val="0"/>
          <w:sz w:val="24"/>
        </w:rPr>
        <w:t>推理策略之间具有分工关系。引入规则用于构造合取、蕴含、全称和存在命题；消去规则用于从已有复合命题中提取可用事实；重写规则用于基于等价关系转换目标表达式；归纳规则用于处理递归或结构复杂度命题；矛盾和情况分析用于处理非直接构造路径；泛化与特化用于量词命题的建立和实例化。后端求解器不替代自建公理体系，而是作为特定问题场景下的验证辅助。</w:t>
      </w:r>
    </w:p>
    <w:p>
      <w:pPr>
        <w:spacing w:line="324" w:lineRule="auto" w:after="120"/>
        <w:ind w:firstLine="480"/>
      </w:pPr>
      <w:r>
        <w:rPr>
          <w:rFonts w:ascii="Times New Roman" w:hAnsi="Times New Roman" w:eastAsia="宋体"/>
          <w:b w:val="0"/>
          <w:sz w:val="24"/>
        </w:rPr>
        <w:t>反证法的作用域控制是推理安全性的关键。约束相容检测与反证作用域测试规划明确指出，反证方向不是删除矛盾推理，而是限制在局部假设域，禁止局部矛盾污染全局证明上下文。这一要求与Lv-00强调证明可追溯、推理边界清晰和局部矛盾闭包溯源的原则一致。</w:t>
      </w:r>
    </w:p>
    <w:p>
      <w:pPr>
        <w:spacing w:line="288" w:lineRule="auto" w:after="160"/>
      </w:pPr>
      <w:r>
        <w:rPr>
          <w:rFonts w:ascii="Times New Roman" w:hAnsi="Times New Roman" w:eastAsia="黑体"/>
          <w:b/>
          <w:sz w:val="30"/>
        </w:rPr>
        <w:t>九、约束拓扑归一化内核机理分析</w:t>
      </w:r>
    </w:p>
    <w:p>
      <w:pPr>
        <w:spacing w:line="324" w:lineRule="auto" w:after="120"/>
        <w:ind w:firstLine="480"/>
      </w:pPr>
      <w:r>
        <w:rPr>
          <w:rFonts w:ascii="Times New Roman" w:hAnsi="Times New Roman" w:eastAsia="宋体"/>
          <w:b w:val="0"/>
          <w:sz w:val="24"/>
        </w:rPr>
        <w:t>约束拓扑归一化内核用于解决推理过程中结构表示不唯一、约束重复、等价节点分裂和冲突状态不明确的问题。归一化文档指出，图规范化遍引擎在合一检查前对约束图进行标准化处理，通过合并冗余节点确保图的唯一表示形式，并以幂等性、符号坐标判等、作用域感知和确定性选择作为核心原则。</w:t>
      </w:r>
    </w:p>
    <w:p>
      <w:pPr>
        <w:spacing w:line="324" w:lineRule="auto" w:after="120"/>
        <w:ind w:firstLine="480"/>
      </w:pPr>
      <w:r>
        <w:rPr>
          <w:rFonts w:ascii="Times New Roman" w:hAnsi="Times New Roman" w:eastAsia="宋体"/>
          <w:b w:val="0"/>
          <w:sz w:val="24"/>
        </w:rPr>
        <w:t>归一化过程通常包括点合并、线段合并和区域合并。点合并先通过符号坐标哈希分组，再执行精确判等和作用域检查，随后使用并查集合并等价节点，并将所有约束引用更新到代表元。线段合并依据端点代表元比较完成，区域合并依据边界线段序列完成。由此，系统能够将同一几何结构的多种表达压缩为稳定规范形式。</w:t>
      </w:r>
    </w:p>
    <w:p>
      <w:pPr>
        <w:spacing w:line="324" w:lineRule="auto" w:after="120"/>
        <w:ind w:firstLine="480"/>
      </w:pPr>
      <w:r>
        <w:rPr>
          <w:rFonts w:ascii="Times New Roman" w:hAnsi="Times New Roman" w:eastAsia="宋体"/>
          <w:b w:val="0"/>
          <w:sz w:val="24"/>
        </w:rPr>
        <w:t>约束相容检测进一步将系统状态划分为相容、矛盾、欠约束和过约束四类。空图或孤立点可被视为欠约束，直接冲突可被视为矛盾，重复约束或冗余约束过多可被视为过约束，合法且充分的约束系统可被视为相容。该四态结构使Lv-00能够在证明之前先对约束上下文进行安全检查，避免无效结构进入推理层。</w:t>
      </w:r>
    </w:p>
    <w:p>
      <w:pPr>
        <w:spacing w:line="288" w:lineRule="auto" w:after="160"/>
      </w:pPr>
      <w:r>
        <w:rPr>
          <w:rFonts w:ascii="Times New Roman" w:hAnsi="Times New Roman" w:eastAsia="黑体"/>
          <w:b/>
          <w:sz w:val="30"/>
        </w:rPr>
        <w:t>十、证明系统与输出证明编译</w:t>
      </w:r>
    </w:p>
    <w:p>
      <w:pPr>
        <w:spacing w:line="324" w:lineRule="auto" w:after="120"/>
        <w:ind w:firstLine="480"/>
      </w:pPr>
      <w:r>
        <w:rPr>
          <w:rFonts w:ascii="Times New Roman" w:hAnsi="Times New Roman" w:eastAsia="宋体"/>
          <w:b w:val="0"/>
          <w:sz w:val="24"/>
        </w:rPr>
        <w:t>Lv-00证明系统体现“构造即证明”的核心理念。证明系统文档中Proposition结构包含命题端口、几何模式、前置条件、后置条件、证明状态和证明构造；ProofStep结构记录步骤编号、步骤类型、依赖关系、状态快照和描述信息；Proof结构则包含命题、证明步骤、信任颜色、依赖和导出格式。这些结构说明Lv-00的证明不是一次性结论，而是具有过程、依赖和状态快照的可追溯对象。</w:t>
      </w:r>
    </w:p>
    <w:p>
      <w:pPr>
        <w:spacing w:line="324" w:lineRule="auto" w:after="120"/>
        <w:ind w:firstLine="480"/>
      </w:pPr>
      <w:r>
        <w:rPr>
          <w:rFonts w:ascii="Times New Roman" w:hAnsi="Times New Roman" w:eastAsia="宋体"/>
          <w:b w:val="0"/>
          <w:sz w:val="24"/>
        </w:rPr>
        <w:t>输出证明编译层的理论作用，是将机器可处理的证明对象转化为人类可读、可导出、可复核的证明链。它不应修改推理层状态，也不应重新解释公理语义，而应只读Proof Object、ProofStep和ProofTrace，并生成格式化文本、可视化图形、跨语言导出或教学展示材料。该边界保证输出层不会反向污染推理内核。</w:t>
      </w:r>
    </w:p>
    <w:p>
      <w:pPr>
        <w:spacing w:line="288" w:lineRule="auto" w:after="160"/>
      </w:pPr>
      <w:r>
        <w:rPr>
          <w:rFonts w:ascii="Times New Roman" w:hAnsi="Times New Roman" w:eastAsia="黑体"/>
          <w:b/>
          <w:sz w:val="30"/>
        </w:rPr>
        <w:t>十一、实验验证与测试依据</w:t>
      </w:r>
    </w:p>
    <w:p>
      <w:pPr>
        <w:spacing w:line="324" w:lineRule="auto" w:after="120"/>
        <w:ind w:firstLine="480"/>
      </w:pPr>
      <w:r>
        <w:rPr>
          <w:rFonts w:ascii="Times New Roman" w:hAnsi="Times New Roman" w:eastAsia="宋体"/>
          <w:b w:val="0"/>
          <w:sz w:val="24"/>
        </w:rPr>
        <w:t>本文不将当前测试结果等同于完整数学完备性证明，但将其作为工程可实现性和相容性验证的辅助证据。项目测试结果显示MemoryPool、GeometryTransform和RuntimeMonitor三个测试套件共十五项测试全部通过，覆盖内存池创建销毁、自动扩展、线性分配、几何变换恒等、平移、旋转、反射、组合、逆变换以及运行时日志、计时、性能统计、健康检查、诊断和事件追踪等内容。</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Pr>
                <w:rFonts w:ascii="Times New Roman" w:hAnsi="Times New Roman" w:eastAsia="黑体"/>
                <w:b/>
                <w:sz w:val="21"/>
              </w:rPr>
              <w:t>测试套件</w:t>
            </w:r>
          </w:p>
        </w:tc>
        <w:tc>
          <w:tcPr>
            <w:tcW w:type="dxa" w:w="2340"/>
            <w:vAlign w:val="center"/>
          </w:tcPr>
          <w:p>
            <w:pPr>
              <w:jc w:val="center"/>
            </w:pPr>
            <w:r>
              <w:rPr>
                <w:rFonts w:ascii="Times New Roman" w:hAnsi="Times New Roman" w:eastAsia="黑体"/>
                <w:b/>
                <w:sz w:val="21"/>
              </w:rPr>
              <w:t>测试数量</w:t>
            </w:r>
          </w:p>
        </w:tc>
        <w:tc>
          <w:tcPr>
            <w:tcW w:type="dxa" w:w="2340"/>
            <w:vAlign w:val="center"/>
          </w:tcPr>
          <w:p>
            <w:pPr>
              <w:jc w:val="center"/>
            </w:pPr>
            <w:r>
              <w:rPr>
                <w:rFonts w:ascii="Times New Roman" w:hAnsi="Times New Roman" w:eastAsia="黑体"/>
                <w:b/>
                <w:sz w:val="21"/>
              </w:rPr>
              <w:t>失败数量</w:t>
            </w:r>
          </w:p>
        </w:tc>
        <w:tc>
          <w:tcPr>
            <w:tcW w:type="dxa" w:w="2340"/>
            <w:vAlign w:val="center"/>
          </w:tcPr>
          <w:p>
            <w:pPr>
              <w:jc w:val="center"/>
            </w:pPr>
            <w:r>
              <w:rPr>
                <w:rFonts w:ascii="Times New Roman" w:hAnsi="Times New Roman" w:eastAsia="黑体"/>
                <w:b/>
                <w:sz w:val="21"/>
              </w:rPr>
              <w:t>理论关联</w:t>
            </w:r>
          </w:p>
        </w:tc>
      </w:tr>
      <w:tr>
        <w:tc>
          <w:tcPr>
            <w:tcW w:type="dxa" w:w="2340"/>
            <w:vAlign w:val="center"/>
          </w:tcPr>
          <w:p>
            <w:pPr>
              <w:spacing w:line="276" w:lineRule="auto" w:after="40"/>
            </w:pPr>
            <w:r>
              <w:rPr>
                <w:rFonts w:ascii="Times New Roman" w:hAnsi="Times New Roman" w:eastAsia="宋体"/>
                <w:b w:val="0"/>
                <w:sz w:val="21"/>
              </w:rPr>
              <w:t>MemoryPool</w:t>
            </w:r>
          </w:p>
        </w:tc>
        <w:tc>
          <w:tcPr>
            <w:tcW w:type="dxa" w:w="2340"/>
            <w:vAlign w:val="center"/>
          </w:tcPr>
          <w:p>
            <w:pPr>
              <w:spacing w:line="276" w:lineRule="auto" w:after="40"/>
            </w:pPr>
            <w:r>
              <w:rPr>
                <w:rFonts w:ascii="Times New Roman" w:hAnsi="Times New Roman" w:eastAsia="宋体"/>
                <w:b w:val="0"/>
                <w:sz w:val="21"/>
              </w:rPr>
              <w:t>3</w:t>
            </w:r>
          </w:p>
        </w:tc>
        <w:tc>
          <w:tcPr>
            <w:tcW w:type="dxa" w:w="2340"/>
            <w:vAlign w:val="center"/>
          </w:tcPr>
          <w:p>
            <w:pPr>
              <w:spacing w:line="276" w:lineRule="auto" w:after="40"/>
            </w:pPr>
            <w:r>
              <w:rPr>
                <w:rFonts w:ascii="Times New Roman" w:hAnsi="Times New Roman" w:eastAsia="宋体"/>
                <w:b w:val="0"/>
                <w:sz w:val="21"/>
              </w:rPr>
              <w:t>0</w:t>
            </w:r>
          </w:p>
        </w:tc>
        <w:tc>
          <w:tcPr>
            <w:tcW w:type="dxa" w:w="2340"/>
            <w:vAlign w:val="center"/>
          </w:tcPr>
          <w:p>
            <w:pPr>
              <w:spacing w:line="276" w:lineRule="auto" w:after="40"/>
            </w:pPr>
            <w:r>
              <w:rPr>
                <w:rFonts w:ascii="Times New Roman" w:hAnsi="Times New Roman" w:eastAsia="宋体"/>
                <w:b w:val="0"/>
                <w:sz w:val="21"/>
              </w:rPr>
              <w:t>支撑基础资源管理与运行稳定性</w:t>
            </w:r>
          </w:p>
        </w:tc>
      </w:tr>
      <w:tr>
        <w:tc>
          <w:tcPr>
            <w:tcW w:type="dxa" w:w="2340"/>
            <w:vAlign w:val="center"/>
          </w:tcPr>
          <w:p>
            <w:pPr>
              <w:spacing w:line="276" w:lineRule="auto" w:after="40"/>
            </w:pPr>
            <w:r>
              <w:rPr>
                <w:rFonts w:ascii="Times New Roman" w:hAnsi="Times New Roman" w:eastAsia="宋体"/>
                <w:b w:val="0"/>
                <w:sz w:val="21"/>
              </w:rPr>
              <w:t>GeometryTransform</w:t>
            </w:r>
          </w:p>
        </w:tc>
        <w:tc>
          <w:tcPr>
            <w:tcW w:type="dxa" w:w="2340"/>
            <w:vAlign w:val="center"/>
          </w:tcPr>
          <w:p>
            <w:pPr>
              <w:spacing w:line="276" w:lineRule="auto" w:after="40"/>
            </w:pPr>
            <w:r>
              <w:rPr>
                <w:rFonts w:ascii="Times New Roman" w:hAnsi="Times New Roman" w:eastAsia="宋体"/>
                <w:b w:val="0"/>
                <w:sz w:val="21"/>
              </w:rPr>
              <w:t>6</w:t>
            </w:r>
          </w:p>
        </w:tc>
        <w:tc>
          <w:tcPr>
            <w:tcW w:type="dxa" w:w="2340"/>
            <w:vAlign w:val="center"/>
          </w:tcPr>
          <w:p>
            <w:pPr>
              <w:spacing w:line="276" w:lineRule="auto" w:after="40"/>
            </w:pPr>
            <w:r>
              <w:rPr>
                <w:rFonts w:ascii="Times New Roman" w:hAnsi="Times New Roman" w:eastAsia="宋体"/>
                <w:b w:val="0"/>
                <w:sz w:val="21"/>
              </w:rPr>
              <w:t>0</w:t>
            </w:r>
          </w:p>
        </w:tc>
        <w:tc>
          <w:tcPr>
            <w:tcW w:type="dxa" w:w="2340"/>
            <w:vAlign w:val="center"/>
          </w:tcPr>
          <w:p>
            <w:pPr>
              <w:spacing w:line="276" w:lineRule="auto" w:after="40"/>
            </w:pPr>
            <w:r>
              <w:rPr>
                <w:rFonts w:ascii="Times New Roman" w:hAnsi="Times New Roman" w:eastAsia="宋体"/>
                <w:b w:val="0"/>
                <w:sz w:val="21"/>
              </w:rPr>
              <w:t>支撑几何变换与结构操作正确性</w:t>
            </w:r>
          </w:p>
        </w:tc>
      </w:tr>
      <w:tr>
        <w:tc>
          <w:tcPr>
            <w:tcW w:type="dxa" w:w="2340"/>
            <w:vAlign w:val="center"/>
          </w:tcPr>
          <w:p>
            <w:pPr>
              <w:spacing w:line="276" w:lineRule="auto" w:after="40"/>
            </w:pPr>
            <w:r>
              <w:rPr>
                <w:rFonts w:ascii="Times New Roman" w:hAnsi="Times New Roman" w:eastAsia="宋体"/>
                <w:b w:val="0"/>
                <w:sz w:val="21"/>
              </w:rPr>
              <w:t>RuntimeMonitor</w:t>
            </w:r>
          </w:p>
        </w:tc>
        <w:tc>
          <w:tcPr>
            <w:tcW w:type="dxa" w:w="2340"/>
            <w:vAlign w:val="center"/>
          </w:tcPr>
          <w:p>
            <w:pPr>
              <w:spacing w:line="276" w:lineRule="auto" w:after="40"/>
            </w:pPr>
            <w:r>
              <w:rPr>
                <w:rFonts w:ascii="Times New Roman" w:hAnsi="Times New Roman" w:eastAsia="宋体"/>
                <w:b w:val="0"/>
                <w:sz w:val="21"/>
              </w:rPr>
              <w:t>6</w:t>
            </w:r>
          </w:p>
        </w:tc>
        <w:tc>
          <w:tcPr>
            <w:tcW w:type="dxa" w:w="2340"/>
            <w:vAlign w:val="center"/>
          </w:tcPr>
          <w:p>
            <w:pPr>
              <w:spacing w:line="276" w:lineRule="auto" w:after="40"/>
            </w:pPr>
            <w:r>
              <w:rPr>
                <w:rFonts w:ascii="Times New Roman" w:hAnsi="Times New Roman" w:eastAsia="宋体"/>
                <w:b w:val="0"/>
                <w:sz w:val="21"/>
              </w:rPr>
              <w:t>0</w:t>
            </w:r>
          </w:p>
        </w:tc>
        <w:tc>
          <w:tcPr>
            <w:tcW w:type="dxa" w:w="2340"/>
            <w:vAlign w:val="center"/>
          </w:tcPr>
          <w:p>
            <w:pPr>
              <w:spacing w:line="276" w:lineRule="auto" w:after="40"/>
            </w:pPr>
            <w:r>
              <w:rPr>
                <w:rFonts w:ascii="Times New Roman" w:hAnsi="Times New Roman" w:eastAsia="宋体"/>
                <w:b w:val="0"/>
                <w:sz w:val="21"/>
              </w:rPr>
              <w:t>支撑日志、诊断、性能与事件追踪</w:t>
            </w:r>
          </w:p>
        </w:tc>
      </w:tr>
      <w:tr>
        <w:tc>
          <w:tcPr>
            <w:tcW w:type="dxa" w:w="2340"/>
            <w:vAlign w:val="center"/>
          </w:tcPr>
          <w:p>
            <w:pPr>
              <w:spacing w:line="276" w:lineRule="auto" w:after="40"/>
            </w:pPr>
            <w:r>
              <w:rPr>
                <w:rFonts w:ascii="Times New Roman" w:hAnsi="Times New Roman" w:eastAsia="宋体"/>
                <w:b w:val="0"/>
                <w:sz w:val="21"/>
              </w:rPr>
              <w:t>合计</w:t>
            </w:r>
          </w:p>
        </w:tc>
        <w:tc>
          <w:tcPr>
            <w:tcW w:type="dxa" w:w="2340"/>
            <w:vAlign w:val="center"/>
          </w:tcPr>
          <w:p>
            <w:pPr>
              <w:spacing w:line="276" w:lineRule="auto" w:after="40"/>
            </w:pPr>
            <w:r>
              <w:rPr>
                <w:rFonts w:ascii="Times New Roman" w:hAnsi="Times New Roman" w:eastAsia="宋体"/>
                <w:b w:val="0"/>
                <w:sz w:val="21"/>
              </w:rPr>
              <w:t>15</w:t>
            </w:r>
          </w:p>
        </w:tc>
        <w:tc>
          <w:tcPr>
            <w:tcW w:type="dxa" w:w="2340"/>
            <w:vAlign w:val="center"/>
          </w:tcPr>
          <w:p>
            <w:pPr>
              <w:spacing w:line="276" w:lineRule="auto" w:after="40"/>
            </w:pPr>
            <w:r>
              <w:rPr>
                <w:rFonts w:ascii="Times New Roman" w:hAnsi="Times New Roman" w:eastAsia="宋体"/>
                <w:b w:val="0"/>
                <w:sz w:val="21"/>
              </w:rPr>
              <w:t>0</w:t>
            </w:r>
          </w:p>
        </w:tc>
        <w:tc>
          <w:tcPr>
            <w:tcW w:type="dxa" w:w="2340"/>
            <w:vAlign w:val="center"/>
          </w:tcPr>
          <w:p>
            <w:pPr>
              <w:spacing w:line="276" w:lineRule="auto" w:after="40"/>
            </w:pPr>
            <w:r>
              <w:rPr>
                <w:rFonts w:ascii="Times New Roman" w:hAnsi="Times New Roman" w:eastAsia="宋体"/>
                <w:b w:val="0"/>
                <w:sz w:val="21"/>
              </w:rPr>
              <w:t>为工程可实现性提供初步证据</w:t>
            </w:r>
          </w:p>
        </w:tc>
      </w:tr>
    </w:tbl>
    <w:p/>
    <w:p>
      <w:pPr>
        <w:spacing w:line="324" w:lineRule="auto" w:after="120"/>
        <w:ind w:firstLine="480"/>
      </w:pPr>
      <w:r>
        <w:rPr>
          <w:rFonts w:ascii="Times New Roman" w:hAnsi="Times New Roman" w:eastAsia="宋体"/>
          <w:b w:val="0"/>
          <w:sz w:val="24"/>
        </w:rPr>
        <w:t>除已通过测试外，约束相容检测与反证作用域测试规划提出了进一步验证方向，包括空图欠约束、单线段基础相容、重合点构造直线矛盾或退化、重复约束过约束以及局部矛盾不污染全局证明上下文。这些测试方向直接对应自洽性、相容性和推理安全性，是后续完善论文实验章节的重要基础。</w:t>
      </w:r>
    </w:p>
    <w:p>
      <w:pPr>
        <w:spacing w:line="288" w:lineRule="auto" w:after="160"/>
      </w:pPr>
      <w:r>
        <w:rPr>
          <w:rFonts w:ascii="Times New Roman" w:hAnsi="Times New Roman" w:eastAsia="黑体"/>
          <w:b/>
          <w:sz w:val="30"/>
        </w:rPr>
        <w:t>十二、体系自洽性、独立性与相容性分析</w:t>
      </w:r>
    </w:p>
    <w:p>
      <w:pPr>
        <w:spacing w:line="288" w:lineRule="auto" w:after="160"/>
      </w:pPr>
      <w:r>
        <w:rPr>
          <w:rFonts w:ascii="Times New Roman" w:hAnsi="Times New Roman" w:eastAsia="黑体"/>
          <w:b/>
          <w:sz w:val="26"/>
        </w:rPr>
        <w:t>12.1 自洽性分析</w:t>
      </w:r>
    </w:p>
    <w:p>
      <w:pPr>
        <w:spacing w:line="324" w:lineRule="auto" w:after="120"/>
        <w:ind w:firstLine="480"/>
      </w:pPr>
      <w:r>
        <w:rPr>
          <w:rFonts w:ascii="Times New Roman" w:hAnsi="Times New Roman" w:eastAsia="宋体"/>
          <w:b w:val="0"/>
          <w:sz w:val="24"/>
        </w:rPr>
        <w:t>Lv-00的自洽性体现为对象、关系、公理、约束、推理和输出之间不产生内部矛盾。对象层通过类型系统防止实体混用，谓词层通过有限关系接口防止语义泛化，公理层通过前提与结论约束防止规则冲突，约束层通过归一化和四态相容检测识别异常结构，推理层通过作用域和ProofStep依赖关系维护证明过程，输出层通过只读证明对象保证不回写核心状态。</w:t>
      </w:r>
    </w:p>
    <w:p>
      <w:pPr>
        <w:spacing w:line="288" w:lineRule="auto" w:after="160"/>
      </w:pPr>
      <w:r>
        <w:rPr>
          <w:rFonts w:ascii="Times New Roman" w:hAnsi="Times New Roman" w:eastAsia="黑体"/>
          <w:b/>
          <w:sz w:val="26"/>
        </w:rPr>
        <w:t>12.2 独立性分析</w:t>
      </w:r>
    </w:p>
    <w:p>
      <w:pPr>
        <w:spacing w:line="324" w:lineRule="auto" w:after="120"/>
        <w:ind w:firstLine="480"/>
      </w:pPr>
      <w:r>
        <w:rPr>
          <w:rFonts w:ascii="Times New Roman" w:hAnsi="Times New Roman" w:eastAsia="宋体"/>
          <w:b w:val="0"/>
          <w:sz w:val="24"/>
        </w:rPr>
        <w:t>独立性分析用于说明体系不是冗余堆叠。三元本体分别承担位置对象、连接结构和局部上下文功能；六条本原谓词分别承担不同关系表达功能；八条基础公理分别承担不同基础约束功能；多策略推理中的规则匹配、约束传播、重写、反证和后端验证分别解决不同证明任务。独立性可通过删除某一对象、谓词、公理或策略后观察表达能力与推理闭包变化来验证。</w:t>
      </w:r>
    </w:p>
    <w:p>
      <w:pPr>
        <w:spacing w:line="288" w:lineRule="auto" w:after="160"/>
      </w:pPr>
      <w:r>
        <w:rPr>
          <w:rFonts w:ascii="Times New Roman" w:hAnsi="Times New Roman" w:eastAsia="黑体"/>
          <w:b/>
          <w:sz w:val="26"/>
        </w:rPr>
        <w:t>12.3 相容性分析</w:t>
      </w:r>
    </w:p>
    <w:p>
      <w:pPr>
        <w:spacing w:line="324" w:lineRule="auto" w:after="120"/>
        <w:ind w:firstLine="480"/>
      </w:pPr>
      <w:r>
        <w:rPr>
          <w:rFonts w:ascii="Times New Roman" w:hAnsi="Times New Roman" w:eastAsia="宋体"/>
          <w:b w:val="0"/>
          <w:sz w:val="24"/>
        </w:rPr>
        <w:t>相容性分析强调各模块能够在同一工程系统中协同运行。本体与谓词相容表现为谓词参数类型合法；谓词与公理相容表现为公理只使用内部定义关系；公理与约束图相容表现为规则结果能够以约束形式存储；约束与推理相容表现为推理前可执行归一化和状态检查；推理与输出相容表现为Proof Object可以被格式化和导出。</w:t>
      </w:r>
    </w:p>
    <w:p>
      <w:pPr>
        <w:spacing w:line="288" w:lineRule="auto" w:after="160"/>
      </w:pPr>
      <w:r>
        <w:rPr>
          <w:rFonts w:ascii="Times New Roman" w:hAnsi="Times New Roman" w:eastAsia="黑体"/>
          <w:b/>
          <w:sz w:val="30"/>
        </w:rPr>
        <w:t>十三、不足与改进方向</w:t>
      </w:r>
    </w:p>
    <w:p>
      <w:pPr>
        <w:spacing w:line="324" w:lineRule="auto" w:after="120"/>
        <w:ind w:firstLine="480"/>
      </w:pPr>
      <w:r>
        <w:rPr>
          <w:rFonts w:ascii="Times New Roman" w:hAnsi="Times New Roman" w:eastAsia="宋体"/>
          <w:b w:val="0"/>
          <w:sz w:val="24"/>
        </w:rPr>
        <w:t>在不改变既定理论根基的前提下，Lv-00仍可继续从若干方向深化。第一，应进一步明确三元本体与工程实体之间的规范映射，尤其是点、线、域与Point、Line、Segment、Region、FunctionBlock等工程结构之间的层级对应。第二，应为六条本原谓词补充严格的形式签名、参数类型、非法组合和可归一化条件。第三，应围绕八条基础公理建立逐条独立性验证方案，通过屏蔽公理和比较推理闭包差异说明其不可替代性。</w:t>
      </w:r>
    </w:p>
    <w:p>
      <w:pPr>
        <w:spacing w:line="324" w:lineRule="auto" w:after="120"/>
        <w:ind w:firstLine="480"/>
      </w:pPr>
      <w:r>
        <w:rPr>
          <w:rFonts w:ascii="Times New Roman" w:hAnsi="Times New Roman" w:eastAsia="宋体"/>
          <w:b w:val="0"/>
          <w:sz w:val="24"/>
        </w:rPr>
        <w:t>第四，应完善约束相容检测测试体系，将相容、矛盾、欠约束、过约束四态全部纳入自动测试。第五，应进一步细化反证法局部作用域机制，确保矛盾推理不会发生全局无界爆炸。第六，应强化证明输出的学术化表达，使Proof Object能够稳定转化为适合论文、报告、答辩和教学展示的证明链。第七，应继续优化三层数域策略，保证证明路径严格精确、数值路径显式标记近似、审计模式可追踪浮点使用。</w:t>
      </w:r>
    </w:p>
    <w:p>
      <w:pPr>
        <w:spacing w:line="288" w:lineRule="auto" w:after="160"/>
      </w:pPr>
      <w:r>
        <w:rPr>
          <w:rFonts w:ascii="Times New Roman" w:hAnsi="Times New Roman" w:eastAsia="黑体"/>
          <w:b/>
          <w:sz w:val="30"/>
        </w:rPr>
        <w:t>十四、结论</w:t>
      </w:r>
    </w:p>
    <w:p>
      <w:pPr>
        <w:spacing w:line="324" w:lineRule="auto" w:after="120"/>
        <w:ind w:firstLine="480"/>
      </w:pPr>
      <w:r>
        <w:rPr>
          <w:rFonts w:ascii="Times New Roman" w:hAnsi="Times New Roman" w:eastAsia="宋体"/>
          <w:b w:val="0"/>
          <w:sz w:val="24"/>
        </w:rPr>
        <w:t>本文在上一份理论依据文档基础上，将Lv-00几何元语言扩写为完整论文结构，系统论证了其作为自研原创平面几何公理化体系的理论基础与工程实现路径。全文围绕项目定位、研究现状、三元本体、六条本原谓词、八条基础公理、五层架构、多策略推理、约束拓扑归一化、证明系统、实验验证和改进方向展开，形成了相对完整的论文级论证框架。</w:t>
      </w:r>
    </w:p>
    <w:p>
      <w:pPr>
        <w:spacing w:line="324" w:lineRule="auto" w:after="120"/>
        <w:ind w:firstLine="480"/>
      </w:pPr>
      <w:r>
        <w:rPr>
          <w:rFonts w:ascii="Times New Roman" w:hAnsi="Times New Roman" w:eastAsia="宋体"/>
          <w:b w:val="0"/>
          <w:sz w:val="24"/>
        </w:rPr>
        <w:t>研究表明，Lv-00的核心价值在于将几何构造、计算程序和形式证明统一于同一元语言体系中。其理论合法性来自内部结构的自洽性、独立性、相容性、可执行性和可追溯性，而不是来自希尔伯特、塔尔斯基或传统欧氏公理体系的外部移植。五层分层架构保证理论边界与工程边界一致，多策略推理引擎保证不同证明路径能够协同，约束拓扑归一化内核保证结构表达稳定，证明输出编译层保证结果可读、可导出和可复核。</w:t>
      </w:r>
    </w:p>
    <w:p>
      <w:pPr>
        <w:spacing w:line="324" w:lineRule="auto" w:after="120"/>
        <w:ind w:firstLine="480"/>
      </w:pPr>
      <w:r>
        <w:rPr>
          <w:rFonts w:ascii="Times New Roman" w:hAnsi="Times New Roman" w:eastAsia="宋体"/>
          <w:b w:val="0"/>
          <w:sz w:val="24"/>
        </w:rPr>
        <w:t>因此，Lv-00可以被视为一种具有原创数理框架和工程落地基础的平面几何元语言系统。后续研究应继续围绕公理独立性验证、约束相容性测试、归一化稳定性证明、推理策略调度优化和证明链学术化输出展开，以进一步增强体系的理论严谨性、工程可靠性和论文表达完整度。</w:t>
      </w:r>
    </w:p>
    <w:p>
      <w:pPr>
        <w:spacing w:line="288" w:lineRule="auto" w:after="160"/>
      </w:pPr>
      <w:r>
        <w:rPr>
          <w:rFonts w:ascii="Times New Roman" w:hAnsi="Times New Roman" w:eastAsia="黑体"/>
          <w:b/>
          <w:sz w:val="30"/>
        </w:rPr>
        <w:t>参考的项目内部依据</w:t>
      </w:r>
    </w:p>
    <w:p>
      <w:pPr>
        <w:spacing w:line="324" w:lineRule="auto" w:after="120"/>
      </w:pPr>
      <w:r>
        <w:rPr>
          <w:rFonts w:ascii="Times New Roman" w:hAnsi="Times New Roman" w:eastAsia="宋体"/>
          <w:b w:val="0"/>
          <w:sz w:val="24"/>
        </w:rPr>
        <w:t>[1] README.md：Lv-00几何元语言总体定位、特性与生态边界。</w:t>
      </w:r>
    </w:p>
    <w:p>
      <w:pPr>
        <w:spacing w:line="324" w:lineRule="auto" w:after="120"/>
      </w:pPr>
      <w:r>
        <w:rPr>
          <w:rFonts w:ascii="Times New Roman" w:hAnsi="Times New Roman" w:eastAsia="宋体"/>
          <w:b w:val="0"/>
          <w:sz w:val="24"/>
        </w:rPr>
        <w:t>[2] doc/docs/LV00_LANGUAGE_SPEC.md：元语言词法、语法、类型系统与层间契约。</w:t>
      </w:r>
    </w:p>
    <w:p>
      <w:pPr>
        <w:spacing w:line="324" w:lineRule="auto" w:after="120"/>
      </w:pPr>
      <w:r>
        <w:rPr>
          <w:rFonts w:ascii="Times New Roman" w:hAnsi="Times New Roman" w:eastAsia="宋体"/>
          <w:b w:val="0"/>
          <w:sz w:val="24"/>
        </w:rPr>
        <w:t>[3] doc/docs/ARCHITECTURE_v3.3.md：五层单向依赖学术架构规范。</w:t>
      </w:r>
    </w:p>
    <w:p>
      <w:pPr>
        <w:spacing w:line="324" w:lineRule="auto" w:after="120"/>
      </w:pPr>
      <w:r>
        <w:rPr>
          <w:rFonts w:ascii="Times New Roman" w:hAnsi="Times New Roman" w:eastAsia="宋体"/>
          <w:b w:val="0"/>
          <w:sz w:val="24"/>
        </w:rPr>
        <w:t>[4] doc/docs/FIVE_LAYER_ACADEMIC_REFACTOR_PLAN.md：五层架构学术化整改实施计划。</w:t>
      </w:r>
    </w:p>
    <w:p>
      <w:pPr>
        <w:spacing w:line="324" w:lineRule="auto" w:after="120"/>
      </w:pPr>
      <w:r>
        <w:rPr>
          <w:rFonts w:ascii="Times New Roman" w:hAnsi="Times New Roman" w:eastAsia="宋体"/>
          <w:b w:val="0"/>
          <w:sz w:val="24"/>
        </w:rPr>
        <w:t>[5] doc/docs/02_constraint_graph.md：约束图核心数据结构与基本关系。</w:t>
      </w:r>
    </w:p>
    <w:p>
      <w:pPr>
        <w:spacing w:line="324" w:lineRule="auto" w:after="120"/>
      </w:pPr>
      <w:r>
        <w:rPr>
          <w:rFonts w:ascii="Times New Roman" w:hAnsi="Times New Roman" w:eastAsia="宋体"/>
          <w:b w:val="0"/>
          <w:sz w:val="24"/>
        </w:rPr>
        <w:t>[6] doc/docs/03_normalization.md：图规范化遍引擎与归一化算法流程。</w:t>
      </w:r>
    </w:p>
    <w:p>
      <w:pPr>
        <w:spacing w:line="324" w:lineRule="auto" w:after="120"/>
      </w:pPr>
      <w:r>
        <w:rPr>
          <w:rFonts w:ascii="Times New Roman" w:hAnsi="Times New Roman" w:eastAsia="宋体"/>
          <w:b w:val="0"/>
          <w:sz w:val="24"/>
        </w:rPr>
        <w:t>[7] doc/docs/09_proof.md：命题与证明系统、构造即证明和ProofStep结构。</w:t>
      </w:r>
    </w:p>
    <w:p>
      <w:pPr>
        <w:spacing w:line="324" w:lineRule="auto" w:after="120"/>
      </w:pPr>
      <w:r>
        <w:rPr>
          <w:rFonts w:ascii="Times New Roman" w:hAnsi="Times New Roman" w:eastAsia="宋体"/>
          <w:b w:val="0"/>
          <w:sz w:val="24"/>
        </w:rPr>
        <w:t>[8] docs/INFERENCE_STRATEGIES_SPEC.md：八大推理策略形式化定义。</w:t>
      </w:r>
    </w:p>
    <w:p>
      <w:pPr>
        <w:spacing w:line="324" w:lineRule="auto" w:after="120"/>
      </w:pPr>
      <w:r>
        <w:rPr>
          <w:rFonts w:ascii="Times New Roman" w:hAnsi="Times New Roman" w:eastAsia="宋体"/>
          <w:b w:val="0"/>
          <w:sz w:val="24"/>
        </w:rPr>
        <w:t>[9] doc/docs/CONSTRAINT_PROOF_TEST_PLAN.md：约束相容检测与反证作用域测试规划。</w:t>
      </w:r>
    </w:p>
    <w:p>
      <w:pPr>
        <w:spacing w:line="324" w:lineRule="auto" w:after="120"/>
      </w:pPr>
      <w:r>
        <w:rPr>
          <w:rFonts w:ascii="Times New Roman" w:hAnsi="Times New Roman" w:eastAsia="宋体"/>
          <w:b w:val="0"/>
          <w:sz w:val="24"/>
        </w:rPr>
        <w:t>[10] docs/THREE_LAYER_ARITHMETIC_SPEC.md：代数计算内核三层数域优化规范。</w:t>
      </w:r>
    </w:p>
    <w:p>
      <w:pPr>
        <w:spacing w:line="324" w:lineRule="auto" w:after="120"/>
      </w:pPr>
      <w:r>
        <w:rPr>
          <w:rFonts w:ascii="Times New Roman" w:hAnsi="Times New Roman" w:eastAsia="宋体"/>
          <w:b w:val="0"/>
          <w:sz w:val="24"/>
        </w:rPr>
        <w:t>[11] module/axiom_packages/README.md：公理包系统的可插拔、版本化与依赖管理。</w:t>
      </w:r>
    </w:p>
    <w:p>
      <w:pPr>
        <w:spacing w:line="324" w:lineRule="auto" w:after="120"/>
      </w:pPr>
      <w:r>
        <w:rPr>
          <w:rFonts w:ascii="Times New Roman" w:hAnsi="Times New Roman" w:eastAsia="宋体"/>
          <w:b w:val="0"/>
          <w:sz w:val="24"/>
        </w:rPr>
        <w:t>[12] CMakeLists.txt：五层工程target与推理、输出模块组织。</w:t>
      </w:r>
    </w:p>
    <w:p>
      <w:pPr>
        <w:spacing w:line="324" w:lineRule="auto" w:after="120"/>
      </w:pPr>
      <w:r>
        <w:rPr>
          <w:rFonts w:ascii="Times New Roman" w:hAnsi="Times New Roman" w:eastAsia="宋体"/>
          <w:b w:val="0"/>
          <w:sz w:val="24"/>
        </w:rPr>
        <w:t>[13] test_results.xml / test_results.json：当前测试套件通过情况。</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