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eastAsia="Microsoft YaHei" w:hAnsi="Arial"/>
          <w:b/>
          <w:bCs/>
          <w:color w:val="1B3A5C"/>
          <w:sz w:val="48"/>
          <w:szCs w:val="48"/>
        </w:rPr>
        <w:t xml:space="preserve">Lv-00 几何元语言开源项目</w:t>
      </w:r>
    </w:p>
    <w:p>
      <w:pPr>
        <w:spacing w:after="600"/>
        <w:jc w:val="center"/>
      </w:pPr>
      <w:r>
        <w:rPr>
          <w:rFonts w:ascii="Arial" w:eastAsia="Microsoft YaHei" w:hAnsi="Arial"/>
          <w:b/>
          <w:bCs/>
          <w:color w:val="2B579A"/>
          <w:sz w:val="40"/>
          <w:szCs w:val="40"/>
        </w:rPr>
        <w:t xml:space="preserve">源码全方位深度学术评析报告</w:t>
      </w:r>
    </w:p>
    <w:p>
      <w:pPr>
        <w:spacing w:after="100"/>
        <w:jc w:val="center"/>
      </w:pPr>
      <w:r>
        <w:rPr>
          <w:rFonts w:ascii="Arial" w:eastAsia="Microsoft YaHei" w:hAnsi="Arial"/>
          <w:color w:val="555555"/>
          <w:sz w:val="24"/>
          <w:szCs w:val="24"/>
        </w:rPr>
        <w:t xml:space="preserve">—— 基于源码层面的架构分析、算法审视与学术价值评估 ——</w:t>
      </w:r>
    </w:p>
    <w:p>
      <w:pPr>
        <w:spacing w:before="1200"/>
      </w:pPr>
    </w:p>
    <w:p>
      <w:pPr>
        <w:spacing w:after="80"/>
        <w:jc w:val="center"/>
      </w:pPr>
      <w:r>
        <w:rPr>
          <w:rFonts w:ascii="Arial" w:eastAsia="Microsoft YaHei" w:hAnsi="Arial"/>
          <w:color w:val="333333"/>
          <w:sz w:val="22"/>
          <w:szCs w:val="22"/>
        </w:rPr>
        <w:t xml:space="preserve">评析类型：开源项目源码学术评价</w:t>
      </w:r>
    </w:p>
    <w:p>
      <w:pPr>
        <w:spacing w:after="80"/>
        <w:jc w:val="center"/>
      </w:pPr>
      <w:r>
        <w:rPr>
          <w:rFonts w:ascii="Arial" w:eastAsia="Microsoft YaHei" w:hAnsi="Arial"/>
          <w:color w:val="333333"/>
          <w:sz w:val="22"/>
          <w:szCs w:val="22"/>
        </w:rPr>
        <w:t xml:space="preserve">项目版本：v3.5.0（CMakeLists.txt）/ v3.3.0（README）</w:t>
      </w:r>
    </w:p>
    <w:p>
      <w:pPr>
        <w:spacing w:after="80"/>
        <w:jc w:val="center"/>
      </w:pPr>
      <w:r>
        <w:rPr>
          <w:rFonts w:ascii="Arial" w:eastAsia="Microsoft YaHei" w:hAnsi="Arial"/>
          <w:color w:val="333333"/>
          <w:sz w:val="22"/>
          <w:szCs w:val="22"/>
        </w:rPr>
        <w:t xml:space="preserve">编程语言：纯 C11 标准（无 C++ 依赖）</w:t>
      </w:r>
    </w:p>
    <w:p>
      <w:pPr>
        <w:spacing w:after="80"/>
        <w:jc w:val="center"/>
      </w:pPr>
      <w:r>
        <w:rPr>
          <w:rFonts w:ascii="Arial" w:eastAsia="Microsoft YaHei" w:hAnsi="Arial"/>
          <w:color w:val="333333"/>
          <w:sz w:val="22"/>
          <w:szCs w:val="22"/>
        </w:rPr>
        <w:t xml:space="preserve">代码规模：约 278 个 .c 源文件 + 约 360 个 .h 头文件</w:t>
      </w:r>
    </w:p>
    <w:p>
      <w:pPr>
        <w:spacing w:after="80"/>
        <w:jc w:val="center"/>
      </w:pPr>
      <w:r>
        <w:rPr>
          <w:rFonts w:ascii="Arial" w:eastAsia="Microsoft YaHei" w:hAnsi="Arial"/>
          <w:color w:val="333333"/>
          <w:sz w:val="22"/>
          <w:szCs w:val="22"/>
        </w:rPr>
        <w:t xml:space="preserve">开源许可：MIT License</w:t>
      </w:r>
    </w:p>
    <w:p>
      <w:pPr>
        <w:spacing w:after="80"/>
        <w:jc w:val="center"/>
      </w:pPr>
      <w:r>
        <w:rPr>
          <w:rFonts w:ascii="Arial" w:eastAsia="Microsoft YaHei" w:hAnsi="Arial"/>
          <w:color w:val="333333"/>
          <w:sz w:val="22"/>
          <w:szCs w:val="22"/>
        </w:rPr>
        <w:t xml:space="preserve">报告日期：2026年5月26日</w:t>
      </w:r>
    </w:p>
    <w:p>
      <w:r>
        <w:br w:type="pag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eastAsia="Microsoft YaHei" w:hAnsi="Arial"/>
          <w:b/>
          <w:bCs/>
          <w:color w:val="1B3A5C"/>
          <w:sz w:val="32"/>
          <w:szCs w:val="32"/>
        </w:rPr>
        <w:t xml:space="preserve">一、项目基本概况</w:t>
      </w:r>
    </w:p>
    <w:p>
      <w:pPr>
        <w:pStyle w:val="Heading2"/>
        <w:spacing w:after="160" w:before="280"/>
      </w:pPr>
      <w:r>
        <w:rPr>
          <w:rFonts w:ascii="Arial" w:eastAsia="Microsoft YaHei" w:hAnsi="Arial"/>
          <w:b/>
          <w:bCs/>
          <w:color w:val="2B579A"/>
          <w:sz w:val="28"/>
          <w:szCs w:val="28"/>
        </w:rPr>
        <w:t xml:space="preserve">1.1 项目定位与研究背景</w:t>
      </w:r>
    </w:p>
    <w:p>
      <w:pPr>
        <w:spacing w:after="120" w:line="360"/>
        <w:ind w:firstLine="480"/>
      </w:pPr>
      <w:r>
        <w:rPr>
          <w:rFonts w:ascii="Arial" w:eastAsia="Microsoft YaHei" w:hAnsi="Arial"/>
          <w:sz w:val="22"/>
          <w:szCs w:val="22"/>
        </w:rPr>
        <w:t xml:space="preserve">Lv-00 是开发者独立自研，面向欧式平面几何领域，依托编译原理、数理一阶逻辑、几何机械化推理、符号代数计算理论共同构建的一款轻量化几何元语言系统。该项目整体代码均为底层自主实现，全程未大规模套用现有自动推理框架、第三方数理运算库以及成熟的定理证明组件。项目融合自定义编程语言构造、几何图形建模、约束条件解析、符号化简、机械化定理自动证明多项功能，属于自动推理科学、数学形式化、程序语言开发交叉领域的自主研发开源成果。</w:t>
      </w:r>
    </w:p>
    <w:p>
      <w:pPr>
        <w:spacing w:after="120" w:line="360"/>
        <w:ind w:firstLine="480"/>
      </w:pPr>
      <w:r>
        <w:rPr>
          <w:rFonts w:ascii="Arial" w:eastAsia="Microsoft YaHei" w:hAnsi="Arial"/>
          <w:sz w:val="22"/>
          <w:szCs w:val="22"/>
        </w:rPr>
        <w:t xml:space="preserve">综观当下国内开源小众数理推理类项目，该项目整体完成度、代码规整度与体系化程度都处在较高水准。项目采用纯 C11 标准编写，总计约 278 个 .c 源文件与约 360 个 .h 头文件，代码规模达到中型工程项目水平。外部依赖极度精简，仅依赖 GMP（GNU 多精度算术库）与 pthreads 两个基础库，充分体现了开发者对底层实现的追求与把控。</w:t>
      </w:r>
    </w:p>
    <w:p>
      <w:pPr>
        <w:pStyle w:val="Heading2"/>
        <w:spacing w:after="160" w:before="280"/>
      </w:pPr>
      <w:r>
        <w:rPr>
          <w:rFonts w:ascii="Arial" w:eastAsia="Microsoft YaHei" w:hAnsi="Arial"/>
          <w:b/>
          <w:bCs/>
          <w:color w:val="2B579A"/>
          <w:sz w:val="28"/>
          <w:szCs w:val="28"/>
        </w:rPr>
        <w:t xml:space="preserve">1.2 核心设计理念</w:t>
      </w:r>
    </w:p>
    <w:p>
      <w:pPr>
        <w:spacing w:after="120" w:line="360"/>
        <w:ind w:firstLine="480"/>
      </w:pPr>
      <w:r>
        <w:rPr>
          <w:rFonts w:ascii="Arial" w:eastAsia="Microsoft YaHei" w:hAnsi="Arial"/>
          <w:sz w:val="22"/>
          <w:szCs w:val="22"/>
        </w:rPr>
        <w:t xml:space="preserve">Lv-00 的核心理念在于将“几何构造、计算程序、一阶逻辑证明”三者统一于同一语法体系之中。这一设计理念与当前主流数学工具的功能割裂模式形成鲜明对比：几何绘图软件（如 GeoGebra）侧重图形可视化，符号计算软件（如 Mathematica、Maple）偏向数值代数运算，证明辅助器（如 Coq、Lean）偏重高阶形式化证明。Lv-00 则创新性地构建了一套专属自定义元语言，将上述三大功能整合至同一套语法体系当中，打破了各类数理工具之间的壁垒。</w:t>
      </w:r>
    </w:p>
    <w:p>
      <w:pPr>
        <w:spacing w:after="120" w:line="360"/>
        <w:ind w:firstLine="480"/>
      </w:pPr>
      <w:r>
        <w:rPr>
          <w:rFonts w:ascii="Arial" w:eastAsia="Microsoft YaHei" w:hAnsi="Arial"/>
          <w:sz w:val="22"/>
          <w:szCs w:val="22"/>
        </w:rPr>
        <w:t xml:space="preserve">项目的生态定位明确：不是算法库（如 CGAL），不是解题 AI（如 AlphaGeometry），不是依附于外部证明器的数学库（如 LeanGeo），而是一种同时完成“画图、算数、证明”三件事的语言本身。这种“构造即证明”的设计哲学遵循 BHK 解释，即几何构造通过合一检查验证是否满足命题，将构造性数学与逻辑推理有机结合。</w:t>
      </w:r>
    </w:p>
    <w:p>
      <w:pPr>
        <w:pStyle w:val="Heading2"/>
        <w:spacing w:after="160" w:before="280"/>
      </w:pPr>
      <w:r>
        <w:rPr>
          <w:rFonts w:ascii="Arial" w:eastAsia="Microsoft YaHei" w:hAnsi="Arial"/>
          <w:b/>
          <w:bCs/>
          <w:color w:val="2B579A"/>
          <w:sz w:val="28"/>
          <w:szCs w:val="28"/>
        </w:rPr>
        <w:t xml:space="preserve">1.3 技术栈与工程规模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技术维度</w:t>
            </w:r>
          </w:p>
        </w:tc>
        <w:tc>
          <w:tcPr>
            <w:tcW w:type="dxa" w:w="63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具体内容</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编程语言</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纯 C11 标准（严格模式，禁用编译器扩展）</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构建系统</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CMake 3.15+，支持 GCC/Clang/MSVC 三套编译器</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外部依赖</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GMP（任意精度算术）、pthreads（多线程）</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源文件规模</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约 278 个 .c + 约 360 个 .h，总计约 638 个 C 文件</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测试文件</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约 97 个 C 测试文件 + 8 个示例 + 2 个模糊测试</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公理包</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52 个 .lvz 公理包，覆盖几何、代数、拓扑、逻辑、分析等</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设计文档</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40+ 个 .md 模块设计文档 + 90+ 个参考项目分析</w:t>
            </w:r>
          </w:p>
        </w:tc>
      </w:tr>
      <w:tr>
        <w:trPr>
          <w:cantSplit/>
        </w:trP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许可证</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MIT License</w:t>
            </w:r>
          </w:p>
        </w:tc>
      </w:tr>
    </w:tbl>
    <w:p>
      <w:pPr>
        <w:pStyle w:val="Heading1"/>
        <w:spacing w:after="200" w:before="360"/>
      </w:pPr>
      <w:r>
        <w:rPr>
          <w:rFonts w:ascii="Arial" w:eastAsia="Microsoft YaHei" w:hAnsi="Arial"/>
          <w:b/>
          <w:bCs/>
          <w:color w:val="1B3A5C"/>
          <w:sz w:val="32"/>
          <w:szCs w:val="32"/>
        </w:rPr>
        <w:t xml:space="preserve">二、项目源码架构与学术优势</w:t>
      </w:r>
    </w:p>
    <w:p>
      <w:pPr>
        <w:pStyle w:val="Heading2"/>
        <w:spacing w:after="160" w:before="280"/>
      </w:pPr>
      <w:r>
        <w:rPr>
          <w:rFonts w:ascii="Arial" w:eastAsia="Microsoft YaHei" w:hAnsi="Arial"/>
          <w:b/>
          <w:bCs/>
          <w:color w:val="2B579A"/>
          <w:sz w:val="28"/>
          <w:szCs w:val="28"/>
        </w:rPr>
        <w:t xml:space="preserve">2.1 代码模块化架构设计科学严谨</w:t>
      </w:r>
    </w:p>
    <w:p>
      <w:pPr>
        <w:spacing w:after="120" w:line="360"/>
        <w:ind w:firstLine="480"/>
      </w:pPr>
      <w:r>
        <w:rPr>
          <w:rFonts w:ascii="Arial" w:eastAsia="Microsoft YaHei" w:hAnsi="Arial"/>
          <w:sz w:val="22"/>
          <w:szCs w:val="22"/>
        </w:rPr>
        <w:t xml:space="preserve">通读整体源码结构能够看出作者具备扎实的编译原理与软件工程基础。项目采用严格的五层单向依赖学术架构，自上而下划分为词法语法解析层（Layer 1）、资源管理层（Layer 2）、几何拓扑层（Layer 3）、多策略自动推理层（Layer 4）、输出证明编译层（Layer 5）。各功能模块职责划分清晰，代码耦合度较低，调用关系条理清晰，层级单向约束能够有效避免程序逻辑嵌套混乱。</w:t>
      </w:r>
    </w:p>
    <w:p>
      <w:pPr>
        <w:spacing w:after="120" w:line="360"/>
        <w:ind w:firstLine="480"/>
      </w:pPr>
      <w:r>
        <w:rPr>
          <w:rFonts w:ascii="Arial" w:eastAsia="Microsoft YaHei" w:hAnsi="Arial"/>
          <w:sz w:val="22"/>
          <w:szCs w:val="22"/>
        </w:rPr>
        <w:t xml:space="preserve">值得特别指出的是，项目在编译时层级即通过 _Static_assert 宏实现跨层调用合法性检查（LV00_ALLOW_LAYER 宏），这是一种极为严格的架构约束机制，确保下层模块绝不反向依赖上层。每层编译为独立的 CMake OBJECT 库，依赖方向为 Layer 5 → Layer 4 → Layer 3 → Layer 2 ← Layer 1，形成严格的单向有向无环图。这种架构设计在同类开源项目中极为罕见，充分体现了开发者对软件架构学的深刻理解。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cantSplit/>
        </w:trPr>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层级</w:t>
            </w:r>
          </w:p>
        </w:tc>
        <w:tc>
          <w:tcPr>
            <w:tcW w:type="dxa" w:w="24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目录名称</w:t>
            </w:r>
          </w:p>
        </w:tc>
        <w:tc>
          <w:tcPr>
            <w:tcW w:type="dxa" w:w="3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核心职责</w:t>
            </w:r>
          </w:p>
        </w:tc>
        <w:tc>
          <w:tcPr>
            <w:tcW w:type="dxa" w:w="25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源文件规模</w:t>
            </w:r>
          </w:p>
        </w:tc>
      </w:tr>
      <w:tr>
        <w:trPr>
          <w:cantSplit/>
        </w:trPr>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L1</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layer1_parser</w:t>
            </w:r>
          </w:p>
        </w:tc>
        <w:tc>
          <w:tcPr>
            <w:tcW w:type="dxa" w:w="3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词法分析、公式解析、DSL 编译、AST 生成</w:t>
            </w:r>
          </w:p>
        </w:tc>
        <w:tc>
          <w:tcPr>
            <w:tcW w:type="dxa" w:w="25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7 个 .c + 12 个 .h</w:t>
            </w:r>
          </w:p>
        </w:tc>
      </w:tr>
      <w:tr>
        <w:trPr>
          <w:cantSplit/>
        </w:trPr>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L2</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layer2_resource</w:t>
            </w:r>
          </w:p>
        </w:tc>
        <w:tc>
          <w:tcPr>
            <w:tcW w:type="dxa" w:w="3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内存分配、错误码、调试、深拷贝、内存池、运行时监控</w:t>
            </w:r>
          </w:p>
        </w:tc>
        <w:tc>
          <w:tcPr>
            <w:tcW w:type="dxa" w:w="25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9 个 .c + 12 个 .h</w:t>
            </w:r>
          </w:p>
        </w:tc>
      </w:tr>
      <w:tr>
        <w:trPr>
          <w:cantSplit/>
        </w:trPr>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L3</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layer3_geometry</w:t>
            </w:r>
          </w:p>
        </w:tc>
        <w:tc>
          <w:tcPr>
            <w:tcW w:type="dxa" w:w="3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约束图、符号坐标、几何原语、高维结构、区间算术、SMT/SAT</w:t>
            </w:r>
          </w:p>
        </w:tc>
        <w:tc>
          <w:tcPr>
            <w:tcW w:type="dxa" w:w="25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约40 个 .c + 45 个 .h</w:t>
            </w:r>
          </w:p>
        </w:tc>
      </w:tr>
      <w:tr>
        <w:trPr>
          <w:cantSplit/>
        </w:trPr>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L4</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layer4_reasoning</w:t>
            </w:r>
          </w:p>
        </w:tc>
        <w:tc>
          <w:tcPr>
            <w:tcW w:type="dxa" w:w="3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引擎、求解器、证明、重写、合一、规范化、类型系统、55+ 预设</w:t>
            </w:r>
          </w:p>
        </w:tc>
        <w:tc>
          <w:tcPr>
            <w:tcW w:type="dxa" w:w="25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约105 个 .c + 100 个 .h</w:t>
            </w:r>
          </w:p>
        </w:tc>
      </w:tr>
      <w:tr>
        <w:trPr>
          <w:cantSplit/>
        </w:trPr>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L5</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layer5_output</w:t>
            </w:r>
          </w:p>
        </w:tc>
        <w:tc>
          <w:tcPr>
            <w:tcW w:type="dxa" w:w="32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流式输出、TikZ 导出、证明可视化、互操作、Magic 模拟器</w:t>
            </w:r>
          </w:p>
        </w:tc>
        <w:tc>
          <w:tcPr>
            <w:tcW w:type="dxa" w:w="25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5 个 .c + 12 个 .h</w:t>
            </w:r>
          </w:p>
        </w:tc>
      </w:tr>
    </w:tbl>
    <w:p>
      <w:pPr>
        <w:spacing w:after="120" w:line="360"/>
        <w:ind w:firstLine="480"/>
      </w:pPr>
      <w:r>
        <w:rPr>
          <w:rFonts w:ascii="Arial" w:eastAsia="Microsoft YaHei" w:hAnsi="Arial"/>
          <w:sz w:val="22"/>
          <w:szCs w:val="22"/>
        </w:rPr>
        <w:t xml:space="preserve">整体代码编写规范，变量定义、函数封装、结构体设计都具备标准化科研工程的编写特征。项目采用统一的 lv00_malloc/lv00_free 内存分配器，所有分配路径都有对应的释放路径，并配合统一的错误处理体系（lv00_set_error/lv00_clear_error + 双层回退）。相较于同类业余开发的几何推理项目，工程化优势十分突出。</w:t>
      </w:r>
    </w:p>
    <w:p>
      <w:pPr>
        <w:pStyle w:val="Heading2"/>
        <w:spacing w:after="160" w:before="280"/>
      </w:pPr>
      <w:r>
        <w:rPr>
          <w:rFonts w:ascii="Arial" w:eastAsia="Microsoft YaHei" w:hAnsi="Arial"/>
          <w:b/>
          <w:bCs/>
          <w:color w:val="2B579A"/>
          <w:sz w:val="28"/>
          <w:szCs w:val="28"/>
        </w:rPr>
        <w:t xml:space="preserve">2.2 独立完备的几何公理化体系构建</w:t>
      </w:r>
    </w:p>
    <w:p>
      <w:pPr>
        <w:spacing w:after="120" w:line="360"/>
        <w:ind w:firstLine="480"/>
      </w:pPr>
      <w:r>
        <w:rPr>
          <w:rFonts w:ascii="Arial" w:eastAsia="Microsoft YaHei" w:hAnsi="Arial"/>
          <w:sz w:val="22"/>
          <w:szCs w:val="22"/>
        </w:rPr>
        <w:t xml:space="preserve">该系统摸弃市面上多数几何软件直接依托坐标数值运算解题的单一模式，重新梳理整合欧式几何整套基础公理、基础推论与几何固有性质，搭建一套自成闭环的专属几何公理系统。在源码层面，euclidean_geometry.c 实现了完整的 Hilbert 五大公理组（关联 8 条、顺序 4 条、全等 5 条、平行 1 条、连续 1 条），并通过 22 位公理位掩码系统支持细粒度的公理启用控制。</w:t>
      </w:r>
    </w:p>
    <w:p>
      <w:pPr>
        <w:spacing w:after="120" w:line="360"/>
        <w:ind w:firstLine="480"/>
      </w:pPr>
      <w:r>
        <w:rPr>
          <w:rFonts w:ascii="Arial" w:eastAsia="Microsoft YaHei" w:hAnsi="Arial"/>
          <w:sz w:val="22"/>
          <w:szCs w:val="22"/>
        </w:rPr>
        <w:t xml:space="preserve">更为突出的是，系统实现了 Birkhoff/Tarski 双公理体系的翻译映射（euclidean_build_birkhoff_to_tarski_map / euclidean_build_tarski_to_birkhoff_map），支持在不同公理体系之间进行形式化转换。同时，项目通过 .lvz 公理包格式构建了 52 个数学理论预设模块，覆盖从欧氏几何到同伦类型论的广泛数学分支，公理包之间通过显式依赖声明建立关联，并采用 SHA-256 校验确保完整性。</w:t>
      </w:r>
    </w:p>
    <w:p>
      <w:pPr>
        <w:spacing w:after="120" w:line="360"/>
        <w:ind w:firstLine="480"/>
      </w:pPr>
      <w:r>
        <w:rPr>
          <w:rFonts w:ascii="Arial" w:eastAsia="Microsoft YaHei" w:hAnsi="Arial"/>
          <w:sz w:val="22"/>
          <w:szCs w:val="22"/>
        </w:rPr>
        <w:t xml:space="preserve">系统采用形式逻辑演绎推理与多项式代数化简双轨并行的推理机制。一方面依靠纯粹数理逻辑进行严谨演绎推导，贴合传统几何严谨论证思维；另一方面结合 Groebner 基消元算法（groebner_engine.c 实现了经典 Buchberger 算法，支持 lex/grlex/grevlex 三种单项式序）、多项式符号化简完成代数层面命题判定，两种推理模式互为补充，对于几何机械化推理的实践研究具备良好参考意义。</w:t>
      </w:r>
    </w:p>
    <w:p>
      <w:pPr>
        <w:pStyle w:val="Heading2"/>
        <w:spacing w:after="160" w:before="280"/>
      </w:pPr>
      <w:r>
        <w:rPr>
          <w:rFonts w:ascii="Arial" w:eastAsia="Microsoft YaHei" w:hAnsi="Arial"/>
          <w:b/>
          <w:bCs/>
          <w:color w:val="2B579A"/>
          <w:sz w:val="28"/>
          <w:szCs w:val="28"/>
        </w:rPr>
        <w:t xml:space="preserve">2.3 独有约束归一化化简机制</w:t>
      </w:r>
    </w:p>
    <w:p>
      <w:pPr>
        <w:spacing w:after="120" w:line="360"/>
        <w:ind w:firstLine="480"/>
      </w:pPr>
      <w:r>
        <w:rPr>
          <w:rFonts w:ascii="Arial" w:eastAsia="Microsoft YaHei" w:hAnsi="Arial"/>
          <w:sz w:val="22"/>
          <w:szCs w:val="22"/>
        </w:rPr>
        <w:t xml:space="preserve">项目在几何条件预处理层面做出针对性设计，内置自主优化的约束等价判别、冗余条件剔除、重复命题合并算法。源码中 normalization.c 实现了三阶段归一化算法：第一阶段为点合并（基于 FNV-1a 哈希预分组 + 并查集合并，复杂度从 O(n²) 降至 O(n log n)），第二阶段为线段和区域合并（支持有向/无向等价、边界循环移位等价），第三阶段为拓扑排序稳定化。</w:t>
      </w:r>
    </w:p>
    <w:p>
      <w:pPr>
        <w:spacing w:after="120" w:line="360"/>
        <w:ind w:firstLine="480"/>
      </w:pPr>
      <w:r>
        <w:rPr>
          <w:rFonts w:ascii="Arial" w:eastAsia="Microsoft YaHei" w:hAnsi="Arial"/>
          <w:sz w:val="22"/>
          <w:szCs w:val="22"/>
        </w:rPr>
        <w:t xml:space="preserve">几何自动推理领域长久以来普遍存在条件冗余、推导循环、多余分支推演、已知条件重复判定等通病。该项目通过语义归一化预处理，提前规整所有图形角度、线段、位置关系约束，精简无效逻辑条件。特别值得关注的是，归一化算法通过三个机制保证幂等性：确定性选择（保留最小 ID）、固定遍历顺序（按 ID 升序）、无前置假设（规范化前不假设图已有任何规范形式），有效减少后续推理过程当中的逻辑漏洞，在几何约束预处理研究层面拥有实践创新价值。</w:t>
      </w:r>
    </w:p>
    <w:p>
      <w:pPr>
        <w:pStyle w:val="Heading2"/>
        <w:spacing w:after="160" w:before="280"/>
      </w:pPr>
      <w:r>
        <w:rPr>
          <w:rFonts w:ascii="Arial" w:eastAsia="Microsoft YaHei" w:hAnsi="Arial"/>
          <w:b/>
          <w:bCs/>
          <w:color w:val="2B579A"/>
          <w:sz w:val="28"/>
          <w:szCs w:val="28"/>
        </w:rPr>
        <w:t xml:space="preserve">2.4 全新一体化语言范式创新</w:t>
      </w:r>
    </w:p>
    <w:p>
      <w:pPr>
        <w:spacing w:after="120" w:line="360"/>
        <w:ind w:firstLine="480"/>
      </w:pPr>
      <w:r>
        <w:rPr>
          <w:rFonts w:ascii="Arial" w:eastAsia="Microsoft YaHei" w:hAnsi="Arial"/>
          <w:sz w:val="22"/>
          <w:szCs w:val="22"/>
        </w:rPr>
        <w:t xml:space="preserve">目前国内外现有几何相关研究工具划分界限明确，各个工具功能相互割裂，无法统一联动。Lv-00 创新性构建专属自定义元语言，将几何模型构建、条件编辑、符号高精度运算、自动化定理证明整合至同一套语法体系当中。</w:t>
      </w:r>
    </w:p>
    <w:p>
      <w:pPr>
        <w:spacing w:after="120" w:line="360"/>
        <w:ind w:firstLine="480"/>
      </w:pPr>
      <w:r>
        <w:rPr>
          <w:rFonts w:ascii="Arial" w:eastAsia="Microsoft YaHei" w:hAnsi="Arial"/>
          <w:sz w:val="22"/>
          <w:szCs w:val="22"/>
        </w:rPr>
        <w:t xml:space="preserve">在源码层面，该语言系统具备完整的四阶段编译管线（dsl_tokenize → dsl_parse → dsl_compile → dsl_ir_to_constraint_graph），支持多语法自动检测（LaTeX/DSL/Python 三种输入格式）。语言规范文档（LV00_LANGUAGE_SPEC.md）提供了完整的 BNF 上下文无关文法、操作语义定义、指称语义定义以及 11 种基础类型域的类型系统。这种“声明式建模 + 命令式演算”双重特性的语言设计，在轻量化小型专用几何推理语言研究中补齐了空白，整体研究立意新颖。</w:t>
      </w:r>
    </w:p>
    <w:p>
      <w:pPr>
        <w:pStyle w:val="Heading2"/>
        <w:spacing w:after="160" w:before="280"/>
      </w:pPr>
      <w:r>
        <w:rPr>
          <w:rFonts w:ascii="Arial" w:eastAsia="Microsoft YaHei" w:hAnsi="Arial"/>
          <w:b/>
          <w:bCs/>
          <w:color w:val="2B579A"/>
          <w:sz w:val="28"/>
          <w:szCs w:val="28"/>
        </w:rPr>
        <w:t xml:space="preserve">2.5 数理运算严谨性把控到位</w:t>
      </w:r>
    </w:p>
    <w:p>
      <w:pPr>
        <w:spacing w:after="120" w:line="360"/>
        <w:ind w:firstLine="480"/>
      </w:pPr>
      <w:r>
        <w:rPr>
          <w:rFonts w:ascii="Arial" w:eastAsia="Microsoft YaHei" w:hAnsi="Arial"/>
          <w:sz w:val="22"/>
          <w:szCs w:val="22"/>
        </w:rPr>
        <w:t xml:space="preserve">系统全程采用有理数高精度符号运算机制，完全舍弃常规程序普遍使用的浮点小数计算方式。源码中构建了完整的多层精确计算体系：第一层为 GMP mpz_t/mpq_t 任意精度整数/有理数，第二层为 Lv00Rational（基于 mpz_t 的有理数封装），第三层为 Rational（基于 mpq_t 的有理数），第四层为 SymbolicCoord（代数数、二次根式、超越数），第五层为 mpz_poly_t（GMP 多精度多项式，用于 Groebner 基计算）。</w:t>
      </w:r>
    </w:p>
    <w:p>
      <w:pPr>
        <w:spacing w:after="120" w:line="360"/>
        <w:ind w:firstLine="480"/>
      </w:pPr>
      <w:r>
        <w:rPr>
          <w:rFonts w:ascii="Arial" w:eastAsia="Microsoft YaHei" w:hAnsi="Arial"/>
          <w:sz w:val="22"/>
          <w:szCs w:val="22"/>
        </w:rPr>
        <w:t xml:space="preserve">这种分层精确计算体系从底层规避数值偏差问题，充分遵循形式化数学对于论证严密性的核心要求。源码中 symbolic_coord.c 还实现了信任颜色传播机制（LV00_MIN_TRUST 宏）和 A/B 计划切换（全代数模式与降级模式），对计算精度和可靠性进行精细化管控，科研导向明确。</w:t>
      </w:r>
    </w:p>
    <w:p>
      <w:pPr>
        <w:pStyle w:val="Heading2"/>
        <w:spacing w:after="160" w:before="280"/>
      </w:pPr>
      <w:r>
        <w:rPr>
          <w:rFonts w:ascii="Arial" w:eastAsia="Microsoft YaHei" w:hAnsi="Arial"/>
          <w:b/>
          <w:bCs/>
          <w:color w:val="2B579A"/>
          <w:sz w:val="28"/>
          <w:szCs w:val="28"/>
        </w:rPr>
        <w:t xml:space="preserve">2.6 多策略证明引擎与信任颜色系统</w:t>
      </w:r>
    </w:p>
    <w:p>
      <w:pPr>
        <w:spacing w:after="120" w:line="360"/>
        <w:ind w:firstLine="480"/>
      </w:pPr>
      <w:r>
        <w:rPr>
          <w:rFonts w:ascii="Arial" w:eastAsia="Microsoft YaHei" w:hAnsi="Arial"/>
          <w:sz w:val="22"/>
          <w:szCs w:val="22"/>
        </w:rPr>
        <w:t xml:space="preserve">项目构建了功能丰富的多策略证明引擎，包含 10 种证明策略自动调度、 4 种搜索策略（最佳优先/深度优先/广度优先/迭代加深）、 5 维证明评分系统（简洁性/优雅性/完备性/深度/反冗余）以及 REPL 风格交互式证明构造。形式化定义了 8 种核心推理策略（引入、消去、重写、归纳、矛盾、情况分析、泛化、特化），并创新性地引入了反证作用域收束机制（局部矛盾不得推出全局任意命题）。</w:t>
      </w:r>
    </w:p>
    <w:p>
      <w:pPr>
        <w:spacing w:after="120" w:line="360"/>
        <w:ind w:firstLine="480"/>
      </w:pPr>
      <w:r>
        <w:rPr>
          <w:rFonts w:ascii="Arial" w:eastAsia="Microsoft YaHei" w:hAnsi="Arial"/>
          <w:sz w:val="22"/>
          <w:szCs w:val="22"/>
        </w:rPr>
        <w:t xml:space="preserve">特别值得关注的是信任颜色系统，贯穿整个系统的信任传播机制定义了 10 种信任颜色，从绿色（纯构造性证明）到深橙色（预言机 + 爆炸原理叠加），每种颜色具有精确语义。证明步骤的信任等级通过依赖链树形传播与颜色叠加，当公理包升级导致依赖链断裂时，绿色结论自动降级为黄色。这种设计在同类系统中极为创新，为证明可靠性的形式化表达提供了新思路。</w:t>
      </w:r>
    </w:p>
    <w:p>
      <w:pPr>
        <w:pStyle w:val="Heading2"/>
        <w:spacing w:after="160" w:before="280"/>
      </w:pPr>
      <w:r>
        <w:rPr>
          <w:rFonts w:ascii="Arial" w:eastAsia="Microsoft YaHei" w:hAnsi="Arial"/>
          <w:b/>
          <w:bCs/>
          <w:color w:val="2B579A"/>
          <w:sz w:val="28"/>
          <w:szCs w:val="28"/>
        </w:rPr>
        <w:t xml:space="preserve">2.7 公理中立与广泛的理论覆盖</w:t>
      </w:r>
    </w:p>
    <w:p>
      <w:pPr>
        <w:spacing w:after="120" w:line="360"/>
        <w:ind w:firstLine="480"/>
      </w:pPr>
      <w:r>
        <w:rPr>
          <w:rFonts w:ascii="Arial" w:eastAsia="Microsoft YaHei" w:hAnsi="Arial"/>
          <w:sz w:val="22"/>
          <w:szCs w:val="22"/>
        </w:rPr>
        <w:t xml:space="preserve">项目的公理包系统达到了同类项目中罕见的广度。通过 INDEX.json 注册的 52 个公理包覆盖了几何（欧氏、双曲、椭圆、射影、仿射、微分、代数）、代数（群、环、域、格、布尔、李、同调、泛代数、伽罗瓦、线性代数）、逻辑（经典命题、直觉主义、模态、线性、简单类型、依赖类型、同伦类型、证明论、模型论）、拓扑（度量空间、点集拓扑、代数拓扑）、分析（实分析、泛函分析、测度论、概率论、遍历论）、基础（ZFC、NBG、范畴论、Peano 等）、离散数学（组合、图论、博弈论、信息论、量子信息论）以及数论等 8 大类别。</w:t>
      </w:r>
    </w:p>
    <w:p>
      <w:pPr>
        <w:spacing w:after="120" w:line="360"/>
        <w:ind w:firstLine="480"/>
      </w:pPr>
      <w:r>
        <w:rPr>
          <w:rFonts w:ascii="Arial" w:eastAsia="Microsoft YaHei" w:hAnsi="Arial"/>
          <w:sz w:val="22"/>
          <w:szCs w:val="22"/>
        </w:rPr>
        <w:t xml:space="preserve">公理包之间通过显式依赖声明建立关联，例如双曲几何依赖欧氏平面的前四层，代数几何依赖环论和域论。这种分层组织方式体现了对数学理论体系内在逻辑结构的深刻理解，在开源几何推理系统中屚指可数。</w:t>
      </w:r>
    </w:p>
    <w:p>
      <w:pPr>
        <w:pStyle w:val="Heading1"/>
        <w:spacing w:after="200" w:before="360"/>
      </w:pPr>
      <w:r>
        <w:rPr>
          <w:rFonts w:ascii="Arial" w:eastAsia="Microsoft YaHei" w:hAnsi="Arial"/>
          <w:b/>
          <w:bCs/>
          <w:color w:val="1B3A5C"/>
          <w:sz w:val="32"/>
          <w:szCs w:val="32"/>
        </w:rPr>
        <w:t xml:space="preserve">三、源码存在的学术缺陷与客观不足</w:t>
      </w:r>
    </w:p>
    <w:p>
      <w:pPr>
        <w:pStyle w:val="Heading2"/>
        <w:spacing w:after="160" w:before="280"/>
      </w:pPr>
      <w:r>
        <w:rPr>
          <w:rFonts w:ascii="Arial" w:eastAsia="Microsoft YaHei" w:hAnsi="Arial"/>
          <w:b/>
          <w:bCs/>
          <w:color w:val="2B579A"/>
          <w:sz w:val="28"/>
          <w:szCs w:val="28"/>
        </w:rPr>
        <w:t xml:space="preserve">3.1 底层形式化理论体系存在缺失</w:t>
      </w:r>
    </w:p>
    <w:p>
      <w:pPr>
        <w:spacing w:after="120" w:line="360"/>
        <w:ind w:firstLine="480"/>
      </w:pPr>
      <w:r>
        <w:rPr>
          <w:rFonts w:ascii="Arial" w:eastAsia="Microsoft YaHei" w:hAnsi="Arial"/>
          <w:sz w:val="22"/>
          <w:szCs w:val="22"/>
        </w:rPr>
        <w:t xml:space="preserve">该项目现阶段已有完整代码工程实现和较为详尽的设计文档，但缺少配套完备的形式化语义定义、系统规则说明、公理无矛盾性证明以及推理完备性论证。尽管 LV00_LANGUAGE_SPEC.md 提供了操作语义和指称语义的初步定义，但这些定义仍属于自然语言描述而非严格的数理逻辑形式化。项目全部推理规则、逻辑推演范式、公理判定规则均依靠开发者经验化设计完成落地，没有对应的数理理论文稿作为学术支撑。</w:t>
      </w:r>
    </w:p>
    <w:p>
      <w:pPr>
        <w:spacing w:after="120" w:line="360"/>
        <w:ind w:firstLine="480"/>
      </w:pPr>
      <w:r>
        <w:rPr>
          <w:rFonts w:ascii="Arial" w:eastAsia="Microsoft YaHei" w:hAnsi="Arial"/>
          <w:sz w:val="22"/>
          <w:szCs w:val="22"/>
        </w:rPr>
        <w:t xml:space="preserve">整套系统内部公理之间是否存在隐性逻辑冲突、推导规则是否存在漏洞、部分演绎流程是否存在逻辑不自洽，暂时无法进行严格数理佐证。例如，系统实现了 Hilbert 公理体系与 Tarski 公理体系的双向翻译，但未提供该翻译的正确性证明；Groebner 基算法采用经典 Buchberger 算法，但未对其终止性和正确性进行形式化验证。这是本项目最核心的学术短板。</w:t>
      </w:r>
    </w:p>
    <w:p>
      <w:pPr>
        <w:pStyle w:val="Heading2"/>
        <w:spacing w:after="160" w:before="280"/>
      </w:pPr>
      <w:r>
        <w:rPr>
          <w:rFonts w:ascii="Arial" w:eastAsia="Microsoft YaHei" w:hAnsi="Arial"/>
          <w:b/>
          <w:bCs/>
          <w:color w:val="2B579A"/>
          <w:sz w:val="28"/>
          <w:szCs w:val="28"/>
        </w:rPr>
        <w:t xml:space="preserve">3.2 核心算法原创性较为有限</w:t>
      </w:r>
    </w:p>
    <w:p>
      <w:pPr>
        <w:spacing w:after="120" w:line="360"/>
        <w:ind w:firstLine="480"/>
      </w:pPr>
      <w:r>
        <w:rPr>
          <w:rFonts w:ascii="Arial" w:eastAsia="Microsoft YaHei" w:hAnsi="Arial"/>
          <w:sz w:val="22"/>
          <w:szCs w:val="22"/>
        </w:rPr>
        <w:t xml:space="preserve">项目整体架构设计、整体框架构思具备较高原创性，但是内部核心推理算法大多沿用国内外数十年几何机械化领域经典成熟理论。经源码审视，可以识别出以下算法借鉴关系：Groebner 基消元法借鉴 Buchberger 算法（参考 Singular 和 Macaulay2 的工业级设计）；VF2 子图同构匹配算法用于图重写；Weisfeiler-Lehman 图核哈希用于快速排除；反证法推理、逻辑分支检索、常规几何演绎策略均为现有传统算法的重构改写。</w:t>
      </w:r>
    </w:p>
    <w:p>
      <w:pPr>
        <w:spacing w:after="120" w:line="360"/>
        <w:ind w:firstLine="480"/>
      </w:pPr>
      <w:r>
        <w:rPr>
          <w:rFonts w:ascii="Arial" w:eastAsia="Microsoft YaHei" w:hAnsi="Arial"/>
          <w:sz w:val="22"/>
          <w:szCs w:val="22"/>
        </w:rPr>
        <w:t xml:space="preserve">项目更多是对已有经典数理算法进行代码整合、底层重写与功能封装，并没有诞生突破性、独创性的新型推理算法。值得肯定的是，信任颜色系统、反证作用域收束机制、“构造即证明”的 BHK 解释实现等具有一定创新性，但整体属于架构创新为主，数理理论创新不足，难以达成高水平学术科研成果标准。</w:t>
      </w:r>
    </w:p>
    <w:p>
      <w:pPr>
        <w:pStyle w:val="Heading2"/>
        <w:spacing w:after="160" w:before="280"/>
      </w:pPr>
      <w:r>
        <w:rPr>
          <w:rFonts w:ascii="Arial" w:eastAsia="Microsoft YaHei" w:hAnsi="Arial"/>
          <w:b/>
          <w:bCs/>
          <w:color w:val="2B579A"/>
          <w:sz w:val="28"/>
          <w:szCs w:val="28"/>
        </w:rPr>
        <w:t xml:space="preserve">3.3 实验测试样本体系不够完善</w:t>
      </w:r>
    </w:p>
    <w:p>
      <w:pPr>
        <w:spacing w:after="120" w:line="360"/>
        <w:ind w:firstLine="480"/>
      </w:pPr>
      <w:r>
        <w:rPr>
          <w:rFonts w:ascii="Arial" w:eastAsia="Microsoft YaHei" w:hAnsi="Arial"/>
          <w:sz w:val="22"/>
          <w:szCs w:val="22"/>
        </w:rPr>
        <w:t xml:space="preserve">仓库内置的测试案例数量偏少，尽管测试文件达到 97 个且覆盖面极广（52 个公理包测试、核心引擎测试、证明系统测试、函数块测试、类型系统测试、鲁棒性测试等），但收录的几何命题大多为基础初等几何简单题型。例如，欧氏平面公理包测试仅包含 22 个约束模板和 6 个已知不可构造问题，缺少大量复合型多条件几何题目、高中竞赛难度高阶命题作为实测样本。</w:t>
      </w:r>
    </w:p>
    <w:p>
      <w:pPr>
        <w:spacing w:after="120" w:line="360"/>
        <w:ind w:firstLine="480"/>
      </w:pPr>
      <w:r>
        <w:rPr>
          <w:rFonts w:ascii="Arial" w:eastAsia="Microsoft YaHei" w:hAnsi="Arial"/>
          <w:sz w:val="22"/>
          <w:szCs w:val="22"/>
        </w:rPr>
        <w:t xml:space="preserve">复杂多约束、多嵌套逻辑的几何难题测试案例匮乏，不能够全面检测系统在多分支推理、复杂条件化简、长线逻辑推导当中的运行稳定性。缺少系统化对照实验数据（如与 GCLC、GeoCoq、AlphaGeometry 等系统在相同题集上的性能对比），无法直观佐证该推理系统整体鲁棒性，实证研究部分较为单薄。</w:t>
      </w:r>
    </w:p>
    <w:p>
      <w:pPr>
        <w:pStyle w:val="Heading2"/>
        <w:spacing w:after="160" w:before="280"/>
      </w:pPr>
      <w:r>
        <w:rPr>
          <w:rFonts w:ascii="Arial" w:eastAsia="Microsoft YaHei" w:hAnsi="Arial"/>
          <w:b/>
          <w:bCs/>
          <w:color w:val="2B579A"/>
          <w:sz w:val="28"/>
          <w:szCs w:val="28"/>
        </w:rPr>
        <w:t xml:space="preserve">3.4 学术互通生态拓展性薄弱</w:t>
      </w:r>
    </w:p>
    <w:p>
      <w:pPr>
        <w:spacing w:after="120" w:line="360"/>
        <w:ind w:firstLine="480"/>
      </w:pPr>
      <w:r>
        <w:rPr>
          <w:rFonts w:ascii="Arial" w:eastAsia="Microsoft YaHei" w:hAnsi="Arial"/>
          <w:sz w:val="22"/>
          <w:szCs w:val="22"/>
        </w:rPr>
        <w:t xml:space="preserve">当下主流数学形式化研究基本都依托 Lean、Coq 两大主流证明辅助工具开展研究，但是该项目暂时没有设计对应的接口互通格式，无法实现命题互相转换、证明流程互通复用。尽管项目提供了 HTML/LaTeX/Coq 三种证明导出格式，但这些导出仅为静态文档生成，并非双向的形式化接口。</w:t>
      </w:r>
    </w:p>
    <w:p>
      <w:pPr>
        <w:spacing w:after="120" w:line="360"/>
        <w:ind w:firstLine="480"/>
      </w:pPr>
      <w:r>
        <w:rPr>
          <w:rFonts w:ascii="Arial" w:eastAsia="Microsoft YaHei" w:hAnsi="Arial"/>
          <w:sz w:val="22"/>
          <w:szCs w:val="22"/>
        </w:rPr>
        <w:t xml:space="preserve">同时，尽管项目文档体系相对完整（40+ 个设计文档），但部分文档存在编码问题（如 UTF-8 BOM 不一致），且竞品分析文档和自举设计文档体积过大（分别为 103KB 和 97KB），可能需要拆分为更小的专题文档。后续其他科研人员难以借助该项目开展二次研究与二次开发，整体学术复用价值受到限制。</w:t>
      </w:r>
    </w:p>
    <w:p>
      <w:pPr>
        <w:pStyle w:val="Heading2"/>
        <w:spacing w:after="160" w:before="280"/>
      </w:pPr>
      <w:r>
        <w:rPr>
          <w:rFonts w:ascii="Arial" w:eastAsia="Microsoft YaHei" w:hAnsi="Arial"/>
          <w:b/>
          <w:bCs/>
          <w:color w:val="2B579A"/>
          <w:sz w:val="28"/>
          <w:szCs w:val="28"/>
        </w:rPr>
        <w:t xml:space="preserve">3.5 自动推理检索优化程度不足</w:t>
      </w:r>
    </w:p>
    <w:p>
      <w:pPr>
        <w:spacing w:after="120" w:line="360"/>
        <w:ind w:firstLine="480"/>
      </w:pPr>
      <w:r>
        <w:rPr>
          <w:rFonts w:ascii="Arial" w:eastAsia="Microsoft YaHei" w:hAnsi="Arial"/>
          <w:sz w:val="22"/>
          <w:szCs w:val="22"/>
        </w:rPr>
        <w:t xml:space="preserve">在面对条件繁杂的复杂几何命题时，系统逻辑检索分支较多，推理路径缺少精细化剪枝优化，无效推演步骤偏多。源码审视发现，重写引擎（rewrite.c）中的 VF2 子图同构匹配回溯深度上限为 100，Groebner 基算法最大 50000 步、多项式约化最大 10000 步、引擎重写-求解最大 10000 次迭代。这些硬编码的上限值虽然能防止无限循环，但也反映出缺乏更智能的自适应剪枝策略。</w:t>
      </w:r>
    </w:p>
    <w:p>
      <w:pPr>
        <w:spacing w:after="120" w:line="360"/>
        <w:ind w:firstLine="480"/>
      </w:pPr>
      <w:r>
        <w:rPr>
          <w:rFonts w:ascii="Arial" w:eastAsia="Microsoft YaHei" w:hAnsi="Arial"/>
          <w:sz w:val="22"/>
          <w:szCs w:val="22"/>
        </w:rPr>
        <w:t xml:space="preserve">整体搜索遍历方式较为朴素，运算资源消耗偏大，推理运行效率有待提升。对比市面上成熟专业的自动推理系统（如 Z3 的 Unsat Core 用于证明萃取），在智能筛选、路径优化、高效推演方面依旧存在明显差距。此外，groebner_engine.c 使用全局单例 + 粗粒度互斥锁，在高并发场景下可能成为性能瓶颈。</w:t>
      </w:r>
    </w:p>
    <w:p>
      <w:pPr>
        <w:pStyle w:val="Heading2"/>
        <w:spacing w:after="160" w:before="280"/>
      </w:pPr>
      <w:r>
        <w:rPr>
          <w:rFonts w:ascii="Arial" w:eastAsia="Microsoft YaHei" w:hAnsi="Arial"/>
          <w:b/>
          <w:bCs/>
          <w:color w:val="2B579A"/>
          <w:sz w:val="28"/>
          <w:szCs w:val="28"/>
        </w:rPr>
        <w:t xml:space="preserve">3.6 架构迁移尚未完成</w:t>
      </w:r>
    </w:p>
    <w:p>
      <w:pPr>
        <w:spacing w:after="120" w:line="360"/>
        <w:ind w:firstLine="480"/>
      </w:pPr>
      <w:r>
        <w:rPr>
          <w:rFonts w:ascii="Arial" w:eastAsia="Microsoft YaHei" w:hAnsi="Arial"/>
          <w:sz w:val="22"/>
          <w:szCs w:val="22"/>
        </w:rPr>
        <w:t xml:space="preserve">当前项目处于 v3.3 到 v3.4-academic 的过渡期，源码仍集中在 core/src/core 目录，计划分批迁移到五层目录结构。这导致当前源码目录结构与架构文档不完全对应，新入者理解项目结构的学习曲线较陡。部分文件过大（如 constraint_graph.c、rewrite.c、proof.c），已有拆分计划但尚未执行。引擎正从全局状态迁移到 Lv00Context，当前处于第一阶段（共存期），存在两套错误处理机制并存的复杂性。</w:t>
      </w:r>
    </w:p>
    <w:p>
      <w:pPr>
        <w:pStyle w:val="Heading1"/>
        <w:spacing w:after="200" w:before="360"/>
      </w:pPr>
      <w:r>
        <w:rPr>
          <w:rFonts w:ascii="Arial" w:eastAsia="Microsoft YaHei" w:hAnsi="Arial"/>
          <w:b/>
          <w:bCs/>
          <w:color w:val="1B3A5C"/>
          <w:sz w:val="32"/>
          <w:szCs w:val="32"/>
        </w:rPr>
        <w:t xml:space="preserve">四、综合整体学术评价</w:t>
      </w:r>
    </w:p>
    <w:p>
      <w:pPr>
        <w:pStyle w:val="Heading2"/>
        <w:spacing w:after="160" w:before="280"/>
      </w:pPr>
      <w:r>
        <w:rPr>
          <w:rFonts w:ascii="Arial" w:eastAsia="Microsoft YaHei" w:hAnsi="Arial"/>
          <w:b/>
          <w:bCs/>
          <w:color w:val="2B579A"/>
          <w:sz w:val="28"/>
          <w:szCs w:val="28"/>
        </w:rPr>
        <w:t xml:space="preserve">4.1 多维度评价矩阵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cantSplit/>
        </w:trP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评价维度</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等级</w:t>
            </w:r>
          </w:p>
        </w:tc>
        <w:tc>
          <w:tcPr>
            <w:tcW w:type="dxa" w:w="63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eastAsia="Microsoft YaHei" w:hAnsi="Arial"/>
                <w:b/>
                <w:bCs/>
                <w:color w:val="FFFFFF"/>
                <w:sz w:val="20"/>
                <w:szCs w:val="20"/>
              </w:rPr>
              <w:t xml:space="preserve">评价说明</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代码质量</w:t>
            </w:r>
          </w:p>
        </w:tc>
        <w:tc>
          <w:tcPr>
            <w:tcW w:type="dxa" w:w="1200"/>
            <w:tcBorders>
              <w:top w:val="single" w:color="999999" w:sz="1"/>
              <w:left w:val="single" w:color="999999" w:sz="1"/>
              <w:bottom w:val="single" w:color="999999" w:sz="1"/>
              <w:right w:val="single" w:color="999999" w:sz="1"/>
            </w:tcBorders>
            <w:shd w:fill="D4EDDA"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A</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代码规范、注释详尽、内存管理严谨、防御性编程到位，达到工业级水准</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架构设计</w:t>
            </w:r>
          </w:p>
        </w:tc>
        <w:tc>
          <w:tcPr>
            <w:tcW w:type="dxa" w:w="1200"/>
            <w:tcBorders>
              <w:top w:val="single" w:color="999999" w:sz="1"/>
              <w:left w:val="single" w:color="999999" w:sz="1"/>
              <w:bottom w:val="single" w:color="999999" w:sz="1"/>
              <w:right w:val="single" w:color="999999" w:sz="1"/>
            </w:tcBorders>
            <w:shd w:fill="D4EDDA"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A-</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五层单向依赖架构设计优秀，编译时层级验证创新，但迁移尚未完成</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创新程度</w:t>
            </w:r>
          </w:p>
        </w:tc>
        <w:tc>
          <w:tcPr>
            <w:tcW w:type="dxa" w:w="1200"/>
            <w:tcBorders>
              <w:top w:val="single" w:color="999999" w:sz="1"/>
              <w:left w:val="single" w:color="999999" w:sz="1"/>
              <w:bottom w:val="single" w:color="999999" w:sz="1"/>
              <w:right w:val="single" w:color="999999" w:sz="1"/>
            </w:tcBorders>
            <w:shd w:fill="FFF3CD"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B+</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语言范式、信任颜色、反证收束等架构层创新显著，但核心算法原创性有限</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理论深度</w:t>
            </w:r>
          </w:p>
        </w:tc>
        <w:tc>
          <w:tcPr>
            <w:tcW w:type="dxa" w:w="1200"/>
            <w:tcBorders>
              <w:top w:val="single" w:color="999999" w:sz="1"/>
              <w:left w:val="single" w:color="999999" w:sz="1"/>
              <w:bottom w:val="single" w:color="999999" w:sz="1"/>
              <w:right w:val="single" w:color="999999" w:sz="1"/>
            </w:tcBorders>
            <w:shd w:fill="FFF3CD"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B-</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缺少形式化语义定义、公理无矛盾性证明和推理完备性论证</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实践价值</w:t>
            </w:r>
          </w:p>
        </w:tc>
        <w:tc>
          <w:tcPr>
            <w:tcW w:type="dxa" w:w="1200"/>
            <w:tcBorders>
              <w:top w:val="single" w:color="999999" w:sz="1"/>
              <w:left w:val="single" w:color="999999" w:sz="1"/>
              <w:bottom w:val="single" w:color="999999" w:sz="1"/>
              <w:right w:val="single" w:color="999999" w:sz="1"/>
            </w:tcBorders>
            <w:shd w:fill="FFF3CD"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B+</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工程完成度高，但缺少对照实验和复杂题目测试</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文档完备性</w:t>
            </w:r>
          </w:p>
        </w:tc>
        <w:tc>
          <w:tcPr>
            <w:tcW w:type="dxa" w:w="1200"/>
            <w:tcBorders>
              <w:top w:val="single" w:color="999999" w:sz="1"/>
              <w:left w:val="single" w:color="999999" w:sz="1"/>
              <w:bottom w:val="single" w:color="999999" w:sz="1"/>
              <w:right w:val="single" w:color="999999" w:sz="1"/>
            </w:tcBorders>
            <w:shd w:fill="FFF3CD"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B+</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40+ 设计文档、竞品分析深入，但缺少形式化理论论文</w:t>
            </w:r>
          </w:p>
        </w:tc>
      </w:tr>
      <w:tr>
        <w:trPr>
          <w:cantSplit/>
        </w:trPr>
        <w:tc>
          <w:tcPr>
            <w:tcW w:type="dxa" w:w="180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bCs/>
                <w:sz w:val="20"/>
                <w:szCs w:val="20"/>
              </w:rPr>
              <w:t xml:space="preserve">生态拓展性</w:t>
            </w:r>
          </w:p>
        </w:tc>
        <w:tc>
          <w:tcPr>
            <w:tcW w:type="dxa" w:w="1200"/>
            <w:tcBorders>
              <w:top w:val="single" w:color="999999" w:sz="1"/>
              <w:left w:val="single" w:color="999999" w:sz="1"/>
              <w:bottom w:val="single" w:color="999999" w:sz="1"/>
              <w:right w:val="single" w:color="999999" w:sz="1"/>
            </w:tcBorders>
            <w:shd w:fill="F8D7DA" w:val="clear"/>
            <w:tcMar>
              <w:top w:type="dxa" w:w="50"/>
              <w:left w:type="dxa" w:w="100"/>
              <w:bottom w:type="dxa" w:w="50"/>
              <w:right w:type="dxa" w:w="100"/>
            </w:tcMar>
            <w:vAlign w:val="center"/>
          </w:tcPr>
          <w:p>
            <w:pPr>
              <w:jc w:val="center"/>
            </w:pPr>
            <w:r>
              <w:rPr>
                <w:rFonts w:ascii="Arial" w:eastAsia="Microsoft YaHei" w:hAnsi="Arial"/>
                <w:b w:val="false"/>
                <w:bCs w:val="false"/>
                <w:sz w:val="20"/>
                <w:szCs w:val="20"/>
              </w:rPr>
              <w:t xml:space="preserve">C+</w:t>
            </w:r>
          </w:p>
        </w:tc>
        <w:tc>
          <w:tcPr>
            <w:tcW w:type="dxa" w:w="6360"/>
            <w:tcBorders>
              <w:top w:val="single" w:color="999999" w:sz="1"/>
              <w:left w:val="single" w:color="999999" w:sz="1"/>
              <w:bottom w:val="single" w:color="999999" w:sz="1"/>
              <w:right w:val="single" w:color="999999" w:sz="1"/>
            </w:tcBorders>
            <w:tcMar>
              <w:top w:type="dxa" w:w="50"/>
              <w:left w:type="dxa" w:w="100"/>
              <w:bottom w:type="dxa" w:w="50"/>
              <w:right w:type="dxa" w:w="100"/>
            </w:tcMar>
            <w:vAlign w:val="center"/>
          </w:tcPr>
          <w:p>
            <w:pPr>
              <w:jc w:val="left"/>
            </w:pPr>
            <w:r>
              <w:rPr>
                <w:rFonts w:ascii="Arial" w:eastAsia="Microsoft YaHei" w:hAnsi="Arial"/>
                <w:b w:val="false"/>
                <w:bCs w:val="false"/>
                <w:sz w:val="20"/>
                <w:szCs w:val="20"/>
              </w:rPr>
              <w:t xml:space="preserve">缺少与 Lean/Coq 的形式化接口，学术复用价值受限</w:t>
            </w:r>
          </w:p>
        </w:tc>
      </w:tr>
    </w:tbl>
    <w:p>
      <w:pPr>
        <w:pStyle w:val="Heading2"/>
        <w:spacing w:after="160" w:before="280"/>
      </w:pPr>
      <w:r>
        <w:rPr>
          <w:rFonts w:ascii="Arial" w:eastAsia="Microsoft YaHei" w:hAnsi="Arial"/>
          <w:b/>
          <w:bCs/>
          <w:color w:val="2B579A"/>
          <w:sz w:val="28"/>
          <w:szCs w:val="28"/>
        </w:rPr>
        <w:t xml:space="preserve">4.2 综合评定</w:t>
      </w:r>
    </w:p>
    <w:p>
      <w:pPr>
        <w:spacing w:after="120" w:line="360"/>
        <w:ind w:firstLine="480"/>
      </w:pPr>
      <w:r>
        <w:rPr>
          <w:rFonts w:ascii="Arial" w:eastAsia="Microsoft YaHei" w:hAnsi="Arial"/>
          <w:sz w:val="22"/>
          <w:szCs w:val="22"/>
        </w:rPr>
        <w:t xml:space="preserve">综合代码质量、架构设计、创新程度、理论深度、实践价值多个维度客观评判，Lv-00 属于质量优良、完成度较高的交叉学科科研原型项目。开发者自身对于编译原理、数理逻辑学、代数符号计算、几何自动推理都拥有扎实专业功底，整体工程思路完整清晰，项目并非简易业余习作。</w:t>
      </w:r>
    </w:p>
    <w:p>
      <w:pPr>
        <w:spacing w:after="120" w:line="360"/>
        <w:ind w:firstLine="480"/>
      </w:pPr>
      <w:r>
        <w:rPr>
          <w:rFonts w:ascii="Arial" w:eastAsia="Microsoft YaHei" w:hAnsi="Arial"/>
          <w:sz w:val="22"/>
          <w:szCs w:val="22"/>
        </w:rPr>
        <w:t xml:space="preserve">该项目在工程架构、语言设计、功能整合层面拥有可观创新点，可以作为国内初等几何机械化轻量化研究的优质参考案例。但受制于底层理论论证缺失、核心算法创新不足、实验内容匮乏等问题，目前仅仅停留在原型研发阶段，整体理论深度不足以直接作为正式刊发的学术成果。</w:t>
      </w:r>
    </w:p>
    <w:p>
      <w:pPr>
        <w:spacing w:after="120" w:line="360"/>
        <w:ind w:firstLine="480"/>
      </w:pPr>
      <w:r>
        <w:rPr>
          <w:rFonts w:ascii="Arial" w:eastAsia="Microsoft YaHei" w:hAnsi="Arial"/>
          <w:sz w:val="22"/>
          <w:szCs w:val="22"/>
        </w:rPr>
        <w:t xml:space="preserve">综合学术等级评定为 B+ 级别，工程落地能力优秀，数理理论底蕴欠缺，整体发展潜力巨大。只要后续补齐形式化理论证明、优化推理算法、扩充实验数据集，便可以完善成为一份完整规范的学术研究成果。</w:t>
      </w:r>
    </w:p>
    <w:p>
      <w:pPr>
        <w:pStyle w:val="Heading1"/>
        <w:spacing w:after="200" w:before="360"/>
      </w:pPr>
      <w:r>
        <w:rPr>
          <w:rFonts w:ascii="Arial" w:eastAsia="Microsoft YaHei" w:hAnsi="Arial"/>
          <w:b/>
          <w:bCs/>
          <w:color w:val="1B3A5C"/>
          <w:sz w:val="32"/>
          <w:szCs w:val="32"/>
        </w:rPr>
        <w:t xml:space="preserve">五、后续改良与学术优化方向</w:t>
      </w:r>
    </w:p>
    <w:p>
      <w:pPr>
        <w:pStyle w:val="Heading2"/>
        <w:spacing w:after="160" w:before="280"/>
      </w:pPr>
      <w:r>
        <w:rPr>
          <w:rFonts w:ascii="Arial" w:eastAsia="Microsoft YaHei" w:hAnsi="Arial"/>
          <w:b/>
          <w:bCs/>
          <w:color w:val="2B579A"/>
          <w:sz w:val="28"/>
          <w:szCs w:val="28"/>
        </w:rPr>
        <w:t xml:space="preserve">5.1 完善形式化语义体系</w:t>
      </w:r>
    </w:p>
    <w:p>
      <w:pPr>
        <w:spacing w:after="120" w:line="360"/>
        <w:ind w:firstLine="480"/>
      </w:pPr>
      <w:r>
        <w:rPr>
          <w:rFonts w:ascii="Arial" w:eastAsia="Microsoft YaHei" w:hAnsi="Arial"/>
          <w:sz w:val="22"/>
          <w:szCs w:val="22"/>
        </w:rPr>
        <w:t xml:space="preserve">第一，完善整套系统形式化语义体系。建议将 LV00_LANGUAGE_SPEC.md 中的自然语言语义定义升级为严格的数理逻辑形式化，使用 Coq、Lean 或 Isabelle 等工具对核心公理体系进行机器检查证明。具体而言，应对 Hilbert 公理体系的无矛盾性、Birkhoff/Tarski 双体系翻译的正确性、Groebner 基算法的终止性和正确性、归一化算法的幂等性等关键性质提供形式化证明。这是补足整个项目最关键的理论短板，也是提升学术可信度的核心路径。</w:t>
      </w:r>
    </w:p>
    <w:p>
      <w:pPr>
        <w:pStyle w:val="Heading2"/>
        <w:spacing w:after="160" w:before="280"/>
      </w:pPr>
      <w:r>
        <w:rPr>
          <w:rFonts w:ascii="Arial" w:eastAsia="Microsoft YaHei" w:hAnsi="Arial"/>
          <w:b/>
          <w:bCs/>
          <w:color w:val="2B579A"/>
          <w:sz w:val="28"/>
          <w:szCs w:val="28"/>
        </w:rPr>
        <w:t xml:space="preserve">5.2 优化推理算法与检索策略</w:t>
      </w:r>
    </w:p>
    <w:p>
      <w:pPr>
        <w:spacing w:after="120" w:line="360"/>
        <w:ind w:firstLine="480"/>
      </w:pPr>
      <w:r>
        <w:rPr>
          <w:rFonts w:ascii="Arial" w:eastAsia="Microsoft YaHei" w:hAnsi="Arial"/>
          <w:sz w:val="22"/>
          <w:szCs w:val="22"/>
        </w:rPr>
        <w:t xml:space="preserve">第二，对原有传统推理算法进行改良迭代。建议引入基于学习的自适应剪枝策略，替代当前的硬编码上限值机制；将 Groebner 基引擎的全局单例 + 粗粒度锁升级为读写锁或细粒度锁，提升高并发场景性能；探索将大语言模型（LLM）与符号推理结合的神经建议策略（项目已有 Neural 策略的初步设计），拔高整体科研含金量。</w:t>
      </w:r>
    </w:p>
    <w:p>
      <w:pPr>
        <w:pStyle w:val="Heading2"/>
        <w:spacing w:after="160" w:before="280"/>
      </w:pPr>
      <w:r>
        <w:rPr>
          <w:rFonts w:ascii="Arial" w:eastAsia="Microsoft YaHei" w:hAnsi="Arial"/>
          <w:b/>
          <w:bCs/>
          <w:color w:val="2B579A"/>
          <w:sz w:val="28"/>
          <w:szCs w:val="28"/>
        </w:rPr>
        <w:t xml:space="preserve">5.3 扩充梯度化几何题库</w:t>
      </w:r>
    </w:p>
    <w:p>
      <w:pPr>
        <w:spacing w:after="120" w:line="360"/>
        <w:ind w:firstLine="480"/>
      </w:pPr>
      <w:r>
        <w:rPr>
          <w:rFonts w:ascii="Arial" w:eastAsia="Microsoft YaHei" w:hAnsi="Arial"/>
          <w:sz w:val="22"/>
          <w:szCs w:val="22"/>
        </w:rPr>
        <w:t xml:space="preserve">第三，扩充梯度化几何题库。建议划分基础、中档、竞赛高阶三个层级的测试样本，补充对照实验数据。具体而言，应引入国际通用的几何机械化证明基准测试集（如 Intergeo 平台的命题库），与 GCLC、GeoCoq、AlphaGeometry 等系统在相同题集上进行性能对比实验，完善实证研究内容。同时增加多约束、多嵌套逻辑的复杂几何难题，全面检测系统在极限场景下的运行稳定性。</w:t>
      </w:r>
    </w:p>
    <w:p>
      <w:pPr>
        <w:pStyle w:val="Heading2"/>
        <w:spacing w:after="160" w:before="280"/>
      </w:pPr>
      <w:r>
        <w:rPr>
          <w:rFonts w:ascii="Arial" w:eastAsia="Microsoft YaHei" w:hAnsi="Arial"/>
          <w:b/>
          <w:bCs/>
          <w:color w:val="2B579A"/>
          <w:sz w:val="28"/>
          <w:szCs w:val="28"/>
        </w:rPr>
        <w:t xml:space="preserve">5.4 拓展学术交流与二次开发价值</w:t>
      </w:r>
    </w:p>
    <w:p>
      <w:pPr>
        <w:spacing w:after="120" w:line="360"/>
        <w:ind w:firstLine="480"/>
      </w:pPr>
      <w:r>
        <w:rPr>
          <w:rFonts w:ascii="Arial" w:eastAsia="Microsoft YaHei" w:hAnsi="Arial"/>
          <w:sz w:val="22"/>
          <w:szCs w:val="22"/>
        </w:rPr>
        <w:t xml:space="preserve">第四，增补详细技术文档，完善元语言语法规范说明，开发主流形式化证明工具对接接口。建议将当前的静态证明导出（HTML/LaTeX/Coq）升级为双向形式化接口，支持与 Lean、Coq 的命题互相转换和证明流程互通复用。同时将过大的文档拆分为更小的专题文档，解决编码不一致问题，拓宽项目学术交流与二次开发价值。</w:t>
      </w:r>
    </w:p>
    <w:p>
      <w:pPr>
        <w:pStyle w:val="Heading2"/>
        <w:spacing w:after="160" w:before="280"/>
      </w:pPr>
      <w:r>
        <w:rPr>
          <w:rFonts w:ascii="Arial" w:eastAsia="Microsoft YaHei" w:hAnsi="Arial"/>
          <w:b/>
          <w:bCs/>
          <w:color w:val="2B579A"/>
          <w:sz w:val="28"/>
          <w:szCs w:val="28"/>
        </w:rPr>
        <w:t xml:space="preserve">5.5 精简程序架构与提升稳定性</w:t>
      </w:r>
    </w:p>
    <w:p>
      <w:pPr>
        <w:spacing w:after="120" w:line="360"/>
        <w:ind w:firstLine="480"/>
      </w:pPr>
      <w:r>
        <w:rPr>
          <w:rFonts w:ascii="Arial" w:eastAsia="Microsoft YaHei" w:hAnsi="Arial"/>
          <w:sz w:val="22"/>
          <w:szCs w:val="22"/>
        </w:rPr>
        <w:t xml:space="preserve">第五，梳理代码内部冗余模块，加速完成五层架构迁移。建议尽快完成从 core/src/core 到五层目录的分批迁移，拆分过大的源文件（constraint_graph.c、rewrite.c、proof.c），完成从全局状态到 Lv00Context 的完整迁移。精简程序运行开销，进一步提升整体推理运行稳定性，让整套系统更加贴合学术研究使用标准。</w:t>
      </w:r>
    </w:p>
    <w:p>
      <w:pPr>
        <w:pStyle w:val="Heading2"/>
        <w:spacing w:after="160" w:before="280"/>
      </w:pPr>
      <w:r>
        <w:rPr>
          <w:rFonts w:ascii="Arial" w:eastAsia="Microsoft YaHei" w:hAnsi="Arial"/>
          <w:b/>
          <w:bCs/>
          <w:color w:val="2B579A"/>
          <w:sz w:val="28"/>
          <w:szCs w:val="28"/>
        </w:rPr>
        <w:t xml:space="preserve">5.6 推进自举设计目标</w:t>
      </w:r>
    </w:p>
    <w:p>
      <w:pPr>
        <w:spacing w:after="120" w:line="360"/>
        <w:ind w:firstLine="480"/>
      </w:pPr>
      <w:r>
        <w:rPr>
          <w:rFonts w:ascii="Arial" w:eastAsia="Microsoft YaHei" w:hAnsi="Arial"/>
          <w:sz w:val="22"/>
          <w:szCs w:val="22"/>
        </w:rPr>
        <w:t xml:space="preserve">第六，稳步推进自举设计目标。项目已规划了完整的四阶段自举技术路线（元表示层、操作映射层、编译器层、验证层），定义了 5 项成功标准（SB-1 至 SB-5）。建议优先完成前两个阶段（元表示层和操作映射层），实现 C 结构体的几何层编码和 API 的函数块封装，为后续的编译器闭环和一致性验证奠定基础。自举成功后 C 内核进入永久冻结状态，几何层在抽象阶梯上无限演化，这一设计将极大提升项目的学术价值。</w:t>
      </w:r>
    </w:p>
    <w:p>
      <w:pPr>
        <w:pStyle w:val="Heading1"/>
        <w:spacing w:after="200" w:before="360"/>
      </w:pPr>
      <w:r>
        <w:rPr>
          <w:rFonts w:ascii="Arial" w:eastAsia="Microsoft YaHei" w:hAnsi="Arial"/>
          <w:b/>
          <w:bCs/>
          <w:color w:val="1B3A5C"/>
          <w:sz w:val="32"/>
          <w:szCs w:val="32"/>
        </w:rPr>
        <w:t xml:space="preserve">六、结语</w:t>
      </w:r>
    </w:p>
    <w:p>
      <w:pPr>
        <w:spacing w:after="120" w:line="360"/>
        <w:ind w:firstLine="480"/>
      </w:pPr>
      <w:r>
        <w:rPr>
          <w:rFonts w:ascii="Arial" w:eastAsia="Microsoft YaHei" w:hAnsi="Arial"/>
          <w:sz w:val="22"/>
          <w:szCs w:val="22"/>
        </w:rPr>
        <w:t xml:space="preserve">Lv-00 作为一个独立开发的几何元语言系统，在工程架构设计、语言范式创新、公理体系构建、精确计算体系等方面展现了较高的学术水准。其五层单向依赖架构、信任颜色系统、“构造即证明”理念等创新点具有明确的学术参考价值。然而，形式化理论证明的缺失、核心算法原创性的不足、实验测试的局限性等问题也不容忽视。</w:t>
      </w:r>
    </w:p>
    <w:p>
      <w:pPr>
        <w:spacing w:after="120" w:line="360"/>
        <w:ind w:firstLine="480"/>
      </w:pPr>
      <w:r>
        <w:rPr>
          <w:rFonts w:ascii="Arial" w:eastAsia="Microsoft YaHei" w:hAnsi="Arial"/>
          <w:sz w:val="22"/>
          <w:szCs w:val="22"/>
        </w:rPr>
        <w:t xml:space="preserve">展望未来，若能在形式化语义、算法创新、实验验证、生态互通四个维度持续深化，Lv-00 有望成长为国内几何机械化推理领域的标志性开源成果。特别是其自举设计目标（用几何层描述 C 核的全部接口，形成封闭计算环路）若能实现，将在数学形式化与程序语言理论的交叉研究中开辟新的学术方向。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B3A5C"/>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B579A"/>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3D6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2026-05-25T20:17:20.141Z</dcterms:created>
  <dcterms:modified xsi:type="dcterms:W3CDTF">2026-05-25T20:17:20.142Z</dcterms:modified>
</cp:coreProperties>
</file>

<file path=docProps/custom.xml><?xml version="1.0" encoding="utf-8"?>
<Properties xmlns="http://schemas.openxmlformats.org/officeDocument/2006/custom-properties" xmlns:vt="http://schemas.openxmlformats.org/officeDocument/2006/docPropsVTypes"/>
</file>