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Microsoft YaHei" w:eastAsia="Microsoft YaHei" w:hAnsi="Microsoft YaHei"/>
          <w:b/>
          <w:bCs/>
          <w:color w:val="1F3864"/>
          <w:sz w:val="36"/>
          <w:szCs w:val="36"/>
        </w:rPr>
        <w:t xml:space="preserve">Lv-00 几何元语言系统 v3.0.1 — 代码完善任务汇报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一、任务概述</w:t>
      </w:r>
    </w:p>
    <w:p>
      <w:pPr>
        <w:spacing w:after="12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对 Lv-00 几何元语言系统进行全面代码质量提升，包括架构设计缺陷修复、功能缺失补全、代码标准化、中文注释完善和前端功能完善。项目用于理论数学研究，包含 C11 后端核心（~15000行）、JavaScript Web 前端（~6000行）和 Python 绑定。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二、高优先级改造（架构设计修复）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 xml:space="preserve">2.1 引擎错误状态隔离（engine.h / engine.c）</w:t>
      </w:r>
    </w:p>
    <w:p>
      <w:pPr>
        <w:spacing w:after="120"/>
        <w:jc w:val="left"/>
      </w:pPr>
      <w:r>
        <w:rPr>
          <w:rFonts w:ascii="Microsoft YaHei" w:eastAsia="Microsoft YaHei" w:hAnsi="Microsoft YaHei"/>
          <w:b/>
          <w:bCs/>
          <w:color w:val="000000"/>
          <w:sz w:val="21"/>
          <w:szCs w:val="21"/>
        </w:rPr>
        <w:t xml:space="preserve">问题</w:t>
      </w:r>
      <w:r>
        <w:rPr>
          <w:rFonts w:ascii="Microsoft YaHei" w:eastAsia="Microsoft YaHei" w:hAnsi="Microsoft YaHei"/>
          <w:color w:val="000000"/>
          <w:sz w:val="21"/>
          <w:szCs w:val="21"/>
        </w:rPr>
        <w:t xml:space="preserve">：引擎的 last_status 和 last_error 使用线程局部变量（LV00_THREAD_LOCAL）存储，多个引擎实例共享同一个错误状态，导致实例间错误信息互相覆盖</w:t>
      </w:r>
    </w:p>
    <w:p>
      <w:pPr>
        <w:spacing w:after="120"/>
        <w:jc w:val="left"/>
      </w:pPr>
      <w:r>
        <w:rPr>
          <w:rFonts w:ascii="Microsoft YaHei" w:eastAsia="Microsoft YaHei" w:hAnsi="Microsoft YaHei"/>
          <w:b/>
          <w:bCs/>
          <w:color w:val="000000"/>
          <w:sz w:val="21"/>
          <w:szCs w:val="21"/>
        </w:rPr>
        <w:t xml:space="preserve">修复</w:t>
      </w:r>
      <w:r>
        <w:rPr>
          <w:rFonts w:ascii="Microsoft YaHei" w:eastAsia="Microsoft YaHei" w:hAnsi="Microsoft YaHei"/>
          <w:color w:val="000000"/>
          <w:sz w:val="21"/>
          <w:szCs w:val="21"/>
        </w:rPr>
        <w:t xml:space="preserve">：将 last_status 和 last_error 移入 LV00Engine 结构体中，每个引擎实例独立维护错误状态</w:t>
      </w:r>
    </w:p>
    <w:p>
      <w:pPr>
        <w:spacing w:after="120"/>
        <w:jc w:val="left"/>
      </w:pPr>
      <w:r>
        <w:rPr>
          <w:rFonts w:ascii="Microsoft YaHei" w:eastAsia="Microsoft YaHei" w:hAnsi="Microsoft YaHei"/>
          <w:b/>
          <w:bCs/>
          <w:color w:val="000000"/>
          <w:sz w:val="21"/>
          <w:szCs w:val="21"/>
        </w:rPr>
        <w:t xml:space="preserve">影响范围</w:t>
      </w:r>
      <w:r>
        <w:rPr>
          <w:rFonts w:ascii="Microsoft YaHei" w:eastAsia="Microsoft YaHei" w:hAnsi="Microsoft YaHei"/>
          <w:color w:val="000000"/>
          <w:sz w:val="21"/>
          <w:szCs w:val="21"/>
        </w:rPr>
        <w:t xml:space="preserve">：engine.h 结构体定义、engine.c 全部 36 处 last_status 引用和 29 处 last_error 引用</w:t>
      </w:r>
    </w:p>
    <w:p>
      <w:pPr>
        <w:spacing w:after="120"/>
        <w:jc w:val="left"/>
      </w:pPr>
      <w:r>
        <w:rPr>
          <w:rFonts w:ascii="Microsoft YaHei" w:eastAsia="Microsoft YaHei" w:hAnsi="Microsoft YaHei"/>
          <w:b/>
          <w:bCs/>
          <w:color w:val="000000"/>
          <w:sz w:val="21"/>
          <w:szCs w:val="21"/>
        </w:rPr>
        <w:t xml:space="preserve">附带改进</w:t>
      </w:r>
      <w:r>
        <w:rPr>
          <w:rFonts w:ascii="Microsoft YaHei" w:eastAsia="Microsoft YaHei" w:hAnsi="Microsoft YaHei"/>
          <w:color w:val="000000"/>
          <w:sz w:val="21"/>
          <w:szCs w:val="21"/>
        </w:rPr>
        <w:t xml:space="preserve">：engine_get_last_status/engine_get_last_error 添加 NULL 检查，删除 (void)engine 忽略模式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 xml:space="preserve">2.2 type_region 深拷贝（engine.c）</w:t>
      </w:r>
    </w:p>
    <w:p>
      <w:pPr>
        <w:spacing w:after="120"/>
        <w:jc w:val="left"/>
      </w:pPr>
      <w:r>
        <w:rPr>
          <w:rFonts w:ascii="Microsoft YaHei" w:eastAsia="Microsoft YaHei" w:hAnsi="Microsoft YaHei"/>
          <w:b/>
          <w:bCs/>
          <w:color w:val="000000"/>
          <w:sz w:val="21"/>
          <w:szCs w:val="21"/>
        </w:rPr>
        <w:t xml:space="preserve">问题</w:t>
      </w:r>
      <w:r>
        <w:rPr>
          <w:rFonts w:ascii="Microsoft YaHei" w:eastAsia="Microsoft YaHei" w:hAnsi="Microsoft YaHei"/>
          <w:color w:val="000000"/>
          <w:sz w:val="21"/>
          <w:szCs w:val="21"/>
        </w:rPr>
        <w:t xml:space="preserve">：Port 的 type_region 字段在深拷贝时仅复制指针（浅拷贝），导致拷贝后的端口与原始端口共享同一个 TypeRegion 对象，存在双重释放风险</w:t>
      </w:r>
    </w:p>
    <w:p>
      <w:pPr>
        <w:spacing w:after="120"/>
        <w:jc w:val="left"/>
      </w:pPr>
      <w:r>
        <w:rPr>
          <w:rFonts w:ascii="Microsoft YaHei" w:eastAsia="Microsoft YaHei" w:hAnsi="Microsoft YaHei"/>
          <w:b/>
          <w:bCs/>
          <w:color w:val="000000"/>
          <w:sz w:val="21"/>
          <w:szCs w:val="21"/>
        </w:rPr>
        <w:t xml:space="preserve">修复</w:t>
      </w:r>
      <w:r>
        <w:rPr>
          <w:rFonts w:ascii="Microsoft YaHei" w:eastAsia="Microsoft YaHei" w:hAnsi="Microsoft YaHei"/>
          <w:color w:val="000000"/>
          <w:sz w:val="21"/>
          <w:szCs w:val="21"/>
        </w:rPr>
        <w:t xml:space="preserve">：新增 deep_copy_type_region() 递归深拷贝函数，处理 TypeRegion 的全部子类型指针、数组和字符串字段</w:t>
      </w:r>
    </w:p>
    <w:p>
      <w:pPr>
        <w:spacing w:after="120"/>
        <w:jc w:val="left"/>
      </w:pPr>
      <w:r>
        <w:rPr>
          <w:rFonts w:ascii="Microsoft YaHei" w:eastAsia="Microsoft YaHei" w:hAnsi="Microsoft YaHei"/>
          <w:b/>
          <w:bCs/>
          <w:color w:val="000000"/>
          <w:sz w:val="21"/>
          <w:szCs w:val="21"/>
        </w:rPr>
        <w:t xml:space="preserve">影响范围</w:t>
      </w:r>
      <w:r>
        <w:rPr>
          <w:rFonts w:ascii="Microsoft YaHei" w:eastAsia="Microsoft YaHei" w:hAnsi="Microsoft YaHei"/>
          <w:color w:val="000000"/>
          <w:sz w:val="21"/>
          <w:szCs w:val="21"/>
        </w:rPr>
        <w:t xml:space="preserve">：deep_copy_port 函数及新增的 deep_copy_type_region 辅助函数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 xml:space="preserve">2.3 求解器多变量方程依赖分析（solver.c）</w:t>
      </w:r>
    </w:p>
    <w:p>
      <w:pPr>
        <w:spacing w:after="120"/>
        <w:jc w:val="left"/>
      </w:pPr>
      <w:r>
        <w:rPr>
          <w:rFonts w:ascii="Microsoft YaHei" w:eastAsia="Microsoft YaHei" w:hAnsi="Microsoft YaHei"/>
          <w:b/>
          <w:bCs/>
          <w:color w:val="000000"/>
          <w:sz w:val="21"/>
          <w:szCs w:val="21"/>
        </w:rPr>
        <w:t xml:space="preserve">问题</w:t>
      </w:r>
      <w:r>
        <w:rPr>
          <w:rFonts w:ascii="Microsoft YaHei" w:eastAsia="Microsoft YaHei" w:hAnsi="Microsoft YaHei"/>
          <w:color w:val="000000"/>
          <w:sz w:val="21"/>
          <w:szCs w:val="21"/>
        </w:rPr>
        <w:t xml:space="preserve">：第 1470 行存在 TODO 注释，多变量方程求解时未检查对其他未求解变量的依赖</w:t>
      </w:r>
    </w:p>
    <w:p>
      <w:pPr>
        <w:spacing w:after="120"/>
        <w:jc w:val="left"/>
      </w:pPr>
      <w:r>
        <w:rPr>
          <w:rFonts w:ascii="Microsoft YaHei" w:eastAsia="Microsoft YaHei" w:hAnsi="Microsoft YaHei"/>
          <w:b/>
          <w:bCs/>
          <w:color w:val="000000"/>
          <w:sz w:val="21"/>
          <w:szCs w:val="21"/>
        </w:rPr>
        <w:t xml:space="preserve">修复</w:t>
      </w:r>
      <w:r>
        <w:rPr>
          <w:rFonts w:ascii="Microsoft YaHei" w:eastAsia="Microsoft YaHei" w:hAnsi="Microsoft YaHei"/>
          <w:color w:val="000000"/>
          <w:sz w:val="21"/>
          <w:szCs w:val="21"/>
        </w:rPr>
        <w:t xml:space="preserve">：添加完整的多变量方程依赖分析逻辑和中文注释，说明当前 PolyEquation 为单变量结构的设计决策，以及未来扩展为 MVPolynomial 时的实现路径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三、中优先级改造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 xml:space="preserve">3.1 互操作模块桩函数补全（interop.c）</w:t>
      </w:r>
    </w:p>
    <w:p>
      <w:pPr>
        <w:spacing w:after="12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补全 6 个桩函数：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pct" w:w="30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原状态</w:t>
            </w:r>
          </w:p>
        </w:tc>
        <w:tc>
          <w:tcPr>
            <w:tcW w:type="pct" w:w="35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新实现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interop_execute_command()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 Ping/Status/Shutdown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12种命令完整分派</w:t>
            </w:r>
          </w:p>
        </w:tc>
      </w:tr>
      <w:tr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interop_theorem_add_call()</w:t>
            </w:r>
          </w:p>
        </w:tc>
        <w:tc>
          <w:tcPr>
            <w:tcW w:type="pct" w:w="3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返回 UNSUPPORTED</w:t>
            </w:r>
          </w:p>
        </w:tc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格式化记录+动态扩展缓冲区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interop_theorem_export_calls()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返回占位字符串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Coq/Lean双格式导出</w:t>
            </w:r>
          </w:p>
        </w:tc>
      </w:tr>
      <w:tr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interop_import_external_theorem()</w:t>
            </w:r>
          </w:p>
        </w:tc>
        <w:tc>
          <w:tcPr>
            <w:tcW w:type="pct" w:w="3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返回 UNSUPPORTED</w:t>
            </w:r>
          </w:p>
        </w:tc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5步信任基验证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interop_server_process_command()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基础实现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完整5步处理+JSON诊断</w:t>
            </w:r>
          </w:p>
        </w:tc>
      </w:tr>
      <w:tr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interop_server_run()</w:t>
            </w:r>
          </w:p>
        </w:tc>
        <w:tc>
          <w:tcPr>
            <w:tcW w:type="pct" w:w="3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仅STDIO</w:t>
            </w:r>
          </w:p>
        </w:tc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STDIO+WebSocket双模式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 xml:space="preserve">3.2 高维模块桩函数补全（high_dim.c）</w:t>
      </w:r>
    </w:p>
    <w:p>
      <w:pPr>
        <w:spacing w:after="12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补全 3 个桩函数，新增全局视图追踪系统：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pct" w:w="60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新实现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high_dim_create_multi_projection_view()</w:t>
            </w:r>
          </w:p>
        </w:tc>
        <w:tc>
          <w:tcPr>
            <w:tcW w:type="pct" w:w="6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ID冲突检测+全局视图槽位分配+容量上限检查</w:t>
            </w:r>
          </w:p>
        </w:tc>
      </w:tr>
      <w:tr>
        <w:tc>
          <w:tcPr>
            <w:tcW w:type="pct" w:w="4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high_dim_destroy_multi_projection_view()</w:t>
            </w:r>
          </w:p>
        </w:tc>
        <w:tc>
          <w:tcPr>
            <w:tcW w:type="pct" w:w="6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精确查找+高亮清除+槽位释放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high_dim_link_highlight()</w:t>
            </w:r>
          </w:p>
        </w:tc>
        <w:tc>
          <w:tcPr>
            <w:tcW w:type="pct" w:w="6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多视图联动+元素去重+差异化结果报告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 xml:space="preserve">3.3 Web 前端完善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新建 package.json（项目依赖和脚本声明）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完善 proof.js 5个存根方法（模式设置/统一性检查/步骤跳转/HTML导出/LaTeX导出）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完善 block.js 2个存根方法（统一化/规则添加，含后端调用和前端回退）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为 3 个 JS 文件添加 'use strict' 严格模式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为 lv00_js_backend.js 添加标准中文模块头部注释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四、代码质量提升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 xml:space="preserve">4.1 魔术数字统一（solver.c）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原值</w:t>
            </w:r>
          </w:p>
        </w:tc>
        <w:tc>
          <w:tcPr>
            <w:tcW w:type="pct" w:w="50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替换为</w:t>
            </w:r>
          </w:p>
        </w:tc>
        <w:tc>
          <w:tcPr>
            <w:tcW w:type="pct" w:w="25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出现次数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1e-15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LV00_EPSILON_NEWTON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2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1e-12</w:t>
            </w:r>
          </w:p>
        </w:tc>
        <w:tc>
          <w:tcPr>
            <w:tcW w:type="pct" w:w="5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LV00_EPSILON_DOUBLE</w:t>
            </w:r>
          </w:p>
        </w:tc>
        <w:tc>
          <w:tcPr>
            <w:tcW w:type="pct" w:w="2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1e-10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LV00_EPSILON_NUMERIC_COMPARE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2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1e-9</w:t>
            </w:r>
          </w:p>
        </w:tc>
        <w:tc>
          <w:tcPr>
            <w:tcW w:type="pct" w:w="5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LV00_EPSILON_SEGMENT_INTERIOR</w:t>
            </w:r>
          </w:p>
        </w:tc>
        <w:tc>
          <w:tcPr>
            <w:tcW w:type="pct" w:w="2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LV00_DEFAULT_MAX_ITERATIONS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2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capacity * 2</w:t>
            </w:r>
          </w:p>
        </w:tc>
        <w:tc>
          <w:tcPr>
            <w:tcW w:type="pct" w:w="5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capacity * LV00_ARRAY_GROWTH_FACTOR</w:t>
            </w:r>
          </w:p>
        </w:tc>
        <w:tc>
          <w:tcPr>
            <w:tcW w:type="pct" w:w="2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 xml:space="preserve">4.2 安全函数替换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solver.c：9处 snprintf → LV00_SAFE_SNPRINTF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engine.c：27处 snprintf → LV00_SAFE_SNPRINTF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28"/>
          <w:szCs w:val="28"/>
        </w:rPr>
        <w:t xml:space="preserve">4.3 中文 Doxygen 注释覆盖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engine.c：全部 20+ 公开和 static 函数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solver.c：20+ 核心函数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interop.c：全部补全函数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Microsoft YaHei" w:eastAsia="Microsoft YaHei" w:hAnsi="Microsoft YaHei"/>
          <w:sz w:val="21"/>
          <w:szCs w:val="21"/>
        </w:rPr>
        <w:t xml:space="preserve">high_dim.c：全部补全函数</w:t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五、修改文件清单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35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pct" w:w="30%"/>
            <w:shd w:fill="2E74B5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改动量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include/lv00/engine.h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结构体字段新增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+4行</w:t>
            </w:r>
          </w:p>
        </w:tc>
      </w:tr>
      <w:tr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src/engine.c</w:t>
            </w:r>
          </w:p>
        </w:tc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架构重构+注释标准化</w:t>
            </w:r>
          </w:p>
        </w:tc>
        <w:tc>
          <w:tcPr>
            <w:tcW w:type="pct" w:w="3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~65处引用替换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src/solver.c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TODO补全+魔术数字+注释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~30处修改</w:t>
            </w:r>
          </w:p>
        </w:tc>
      </w:tr>
      <w:tr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src/interop.c</w:t>
            </w:r>
          </w:p>
        </w:tc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6个桩函数补全+注释</w:t>
            </w:r>
          </w:p>
        </w:tc>
        <w:tc>
          <w:tcPr>
            <w:tcW w:type="pct" w:w="3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~400行新增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src/high_dim.c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3个桩函数补全+注释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~200行新增</w:t>
            </w:r>
          </w:p>
        </w:tc>
      </w:tr>
      <w:tr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web/package.json</w:t>
            </w:r>
          </w:p>
        </w:tc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新建</w:t>
            </w:r>
          </w:p>
        </w:tc>
        <w:tc>
          <w:tcPr>
            <w:tcW w:type="pct" w:w="3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1个文件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web/js/modules/proof.js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5个方法实现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~200行新增</w:t>
            </w:r>
          </w:p>
        </w:tc>
      </w:tr>
      <w:tr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web/js/modules/block.js</w:t>
            </w:r>
          </w:p>
        </w:tc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2个方法实现</w:t>
            </w:r>
          </w:p>
        </w:tc>
        <w:tc>
          <w:tcPr>
            <w:tcW w:type="pct" w:w="3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~80行新增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web/js/app.js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严格模式添加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+1行</w:t>
            </w:r>
          </w:p>
        </w:tc>
      </w:tr>
      <w:tr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web/js/lv00_js_backend.js</w:t>
            </w:r>
          </w:p>
        </w:tc>
        <w:tc>
          <w:tcPr>
            <w:tcW w:type="pct" w:w="35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注释+严格模式</w:t>
            </w:r>
          </w:p>
        </w:tc>
        <w:tc>
          <w:tcPr>
            <w:tcW w:type="pct" w:w="30%"/>
            <w:shd w:fill="D6E4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~20行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web/js/graph_to_formula.js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严格模式添加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+1行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六、风险评估与后续建议</w:t>
      </w:r>
    </w:p>
    <w:p>
      <w:pPr>
        <w:spacing w:after="12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1. engine.c 的错误状态迁移为 ABI 破坏性变更，依赖 LV00Engine 的外部代码需重新编译</w:t>
      </w:r>
    </w:p>
    <w:p>
      <w:pPr>
        <w:spacing w:after="12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2. interop.c 的 GeoGebra/SVG/GeoJSON 导入仍需第三方库（cJSON/minizip/expat）才能完整实现</w:t>
      </w:r>
    </w:p>
    <w:p>
      <w:pPr>
        <w:spacing w:after="12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3. 建议后续统一 src/lv00_internal.h 和 include/lv00/lv00_internal.h 为单一权威源</w:t>
      </w:r>
    </w:p>
    <w:p>
      <w:pPr>
        <w:spacing w:after="12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4. 建议为 CI/CD 配置中的占位用户名 yourusername/lv00 替换为实际 GitHub 用户名</w:t>
      </w:r>
    </w:p>
    <w:sectPr>
      <w:headerReference w:type="default" r:id="rId8"/>
      <w:pgSz w:w="11908" w:h="16833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2026-05-20T17:02:33.070Z</dcterms:created>
  <dcterms:modified xsi:type="dcterms:W3CDTF">2026-05-20T17:02:33.070Z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