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STOCHASTIC SPM</w:t>
      </w:r>
    </w:p>
    <w:p>
      <w:pPr>
        <w:spacing w:after="80"/>
      </w:pPr>
      <w:r>
        <w:rPr>
          <w:rFonts w:ascii="Cambria" w:cs="Cambria" w:eastAsia="Cambria" w:hAnsi="Cambria"/>
          <w:b/>
          <w:bCs/>
          <w:color w:val="0B1220"/>
          <w:sz w:val="52"/>
          <w:szCs w:val="52"/>
        </w:rPr>
        <w:t>60-Minute Demo — Run of Show</w:t>
      </w:r>
    </w:p>
    <w:p>
      <w:pPr>
        <w:spacing w:after="400"/>
      </w:pPr>
      <w:r>
        <w:rPr>
          <w:i/>
          <w:iCs/>
          <w:color w:val="5A6C8F"/>
          <w:sz w:val="22"/>
          <w:szCs w:val="22"/>
        </w:rPr>
        <w:t>AI-Assisted Strategic Portfolio Management  ·  Mixed Executive &amp; Operator Audience  ·  Simulated Walkthrough</w:t>
      </w:r>
    </w:p>
    <w:p>
      <w:pPr>
        <w:pStyle w:val="Heading2"/>
        <w:spacing w:after="120" w:before="260"/>
      </w:pPr>
      <w:r>
        <w:rPr>
          <w:b/>
          <w:bCs/>
          <w:color w:val="0B1220"/>
        </w:rPr>
        <w:t>1. Overview</w:t>
      </w:r>
    </w:p>
    <w:p>
      <w:pPr>
        <w:spacing w:after="120"/>
      </w:pPr>
      <w:r>
        <w:t>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Asset</w:t>
            </w:r>
          </w:p>
        </w:tc>
        <w:tc>
          <w:tcPr>
            <w:tcW w:type="dxa" w:w="3600"/>
            <w:shd w:fill="0B1220" w:val="clear"/>
            <w:tcMar>
              <w:top w:type="dxa" w:w="80"/>
              <w:left w:type="dxa" w:w="120"/>
              <w:bottom w:type="dxa" w:w="80"/>
              <w:right w:type="dxa" w:w="120"/>
            </w:tcMar>
          </w:tcPr>
          <w:p>
            <w:r>
              <w:rPr>
                <w:b/>
                <w:bCs/>
                <w:color w:val="FFFFFF"/>
                <w:sz w:val="20"/>
                <w:szCs w:val="20"/>
              </w:rPr>
              <w:t>File</w:t>
            </w:r>
          </w:p>
        </w:tc>
        <w:tc>
          <w:tcPr>
            <w:tcW w:type="dxa" w:w="3700"/>
            <w:shd w:fill="0B1220" w:val="clear"/>
            <w:tcMar>
              <w:top w:type="dxa" w:w="80"/>
              <w:left w:type="dxa" w:w="120"/>
              <w:bottom w:type="dxa" w:w="80"/>
              <w:right w:type="dxa" w:w="120"/>
            </w:tcMar>
          </w:tcPr>
          <w:p>
            <w:r>
              <w:rPr>
                <w:b/>
                <w:bCs/>
                <w:color w:val="FFFFFF"/>
                <w:sz w:val="20"/>
                <w:szCs w:val="20"/>
              </w:rPr>
              <w:t>Purpose</w:t>
            </w:r>
          </w:p>
        </w:tc>
      </w:tr>
      <w:tr>
        <w:tc>
          <w:tcPr>
            <w:tcW w:type="dxa" w:w="2200"/>
            <w:shd w:fill="FFFFFF" w:val="clear"/>
            <w:tcMar>
              <w:top w:type="dxa" w:w="80"/>
              <w:left w:type="dxa" w:w="120"/>
              <w:bottom w:type="dxa" w:w="80"/>
              <w:right w:type="dxa" w:w="120"/>
            </w:tcMar>
          </w:tcPr>
          <w:p>
            <w:r>
              <w:rPr>
                <w:b w:val="false"/>
                <w:bCs w:val="false"/>
                <w:color w:val="3A3A3A"/>
                <w:sz w:val="20"/>
                <w:szCs w:val="20"/>
              </w:rPr>
              <w:t>Slide deck</w:t>
            </w:r>
          </w:p>
        </w:tc>
        <w:tc>
          <w:tcPr>
            <w:tcW w:type="dxa" w:w="3600"/>
            <w:shd w:fill="FFFFFF" w:val="clear"/>
            <w:tcMar>
              <w:top w:type="dxa" w:w="80"/>
              <w:left w:type="dxa" w:w="120"/>
              <w:bottom w:type="dxa" w:w="80"/>
              <w:right w:type="dxa" w:w="120"/>
            </w:tcMar>
          </w:tcPr>
          <w:p>
            <w:r>
              <w:rPr>
                <w:b w:val="false"/>
                <w:bCs w:val="false"/>
                <w:color w:val="3A3A3A"/>
                <w:sz w:val="20"/>
                <w:szCs w:val="20"/>
              </w:rPr>
              <w:t>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This document</w:t>
            </w:r>
          </w:p>
        </w:tc>
        <w:tc>
          <w:tcPr>
            <w:tcW w:type="dxa" w:w="3600"/>
            <w:shd w:fill="FFFFFF" w:val="clear"/>
            <w:tcMar>
              <w:top w:type="dxa" w:w="80"/>
              <w:left w:type="dxa" w:w="120"/>
              <w:bottom w:type="dxa" w:w="80"/>
              <w:right w:type="dxa" w:w="120"/>
            </w:tcMar>
          </w:tcPr>
          <w:p>
            <w:r>
              <w:rPr>
                <w:b w:val="false"/>
                <w:bCs w:val="false"/>
                <w:color w:val="3A3A3A"/>
                <w:sz w:val="20"/>
                <w:szCs w:val="20"/>
              </w:rPr>
              <w:t>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Presenter script, timing, and talk track</w:t>
            </w:r>
          </w:p>
        </w:tc>
      </w:tr>
    </w:tbl>
    <w:p>
      <w:pPr>
        <w:spacing w:after="200"/>
      </w:pPr>
    </w:p>
    <w:p>
      <w:pPr>
        <w:pStyle w:val="Heading3"/>
        <w:spacing w:after="80" w:before="180"/>
      </w:pPr>
      <w:r>
        <w:rPr>
          <w:b/>
          <w:bCs/>
        </w:rPr>
        <w:t>Room / Tech Setup</w:t>
      </w:r>
    </w:p>
    <w:p>
      <w:pPr>
        <w:pStyle w:val="ListParagraph"/>
        <w:numPr>
          <w:ilvl w:val="0"/>
          <w:numId w:val="1"/>
        </w:numPr>
        <w:spacing w:after="60"/>
      </w:pPr>
      <w:r>
        <w:t>Open both files before the audience arrives; keep the HTML demo in a second browser tab or window for instant switching.</w:t>
      </w:r>
    </w:p>
    <w:p>
      <w:pPr>
        <w:pStyle w:val="ListParagraph"/>
        <w:numPr>
          <w:ilvl w:val="0"/>
          <w:numId w:val="1"/>
        </w:numPr>
        <w:spacing w:after="60"/>
      </w:pPr>
      <w:r>
        <w:t>Confirm the interactive demo renders at full width — present at 100% browser zoom on a screen at least 1280px wide.</w:t>
      </w:r>
    </w:p>
    <w:p>
      <w:pPr>
        <w:pStyle w:val="ListParagraph"/>
        <w:numPr>
          <w:ilvl w:val="0"/>
          <w:numId w:val="1"/>
        </w:numPr>
        <w:spacing w:after="60"/>
      </w:pPr>
      <w:r>
        <w:t>Have Slide 3 (7 Pillars grid) and Slide 4 (Amateur vs. Pro contrast) ready as a fallback if the live demo needs a reset mid-Act III.</w:t>
      </w:r>
    </w:p>
    <w:p>
      <w:pPr>
        <w:pStyle w:val="ListParagraph"/>
        <w:numPr>
          <w:ilvl w:val="0"/>
          <w:numId w:val="1"/>
        </w:numPr>
        <w:spacing w:after="60"/>
      </w:pPr>
      <w:r>
        <w:t>Assign a timekeeper or keep this document open on a second monitor — Act III is where time slips.</w:t>
      </w:r>
    </w:p>
    <w:p>
      <w:r/>
    </w:p>
    <w:p>
      <w:pPr>
        <w:pStyle w:val="Heading2"/>
        <w:spacing w:after="120" w:before="260"/>
      </w:pPr>
      <w:r>
        <w:rPr>
          <w:b/>
          <w:bCs/>
          <w:color w:val="0B1220"/>
        </w:rPr>
        <w:t>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Act</w:t>
            </w:r>
          </w:p>
        </w:tc>
        <w:tc>
          <w:tcPr>
            <w:tcW w:type="dxa" w:w="3400"/>
            <w:shd w:fill="0B1220" w:val="clear"/>
            <w:tcMar>
              <w:top w:type="dxa" w:w="80"/>
              <w:left w:type="dxa" w:w="120"/>
              <w:bottom w:type="dxa" w:w="80"/>
              <w:right w:type="dxa" w:w="120"/>
            </w:tcMar>
          </w:tcPr>
          <w:p>
            <w:r>
              <w:rPr>
                <w:b/>
                <w:bCs/>
                <w:color w:val="FFFFFF"/>
                <w:sz w:val="20"/>
                <w:szCs w:val="20"/>
              </w:rPr>
              <w:t>Segment</w:t>
            </w:r>
          </w:p>
        </w:tc>
        <w:tc>
          <w:tcPr>
            <w:tcW w:type="dxa" w:w="1500"/>
            <w:shd w:fill="0B1220" w:val="clear"/>
            <w:tcMar>
              <w:top w:type="dxa" w:w="80"/>
              <w:left w:type="dxa" w:w="120"/>
              <w:bottom w:type="dxa" w:w="80"/>
              <w:right w:type="dxa" w:w="120"/>
            </w:tcMar>
          </w:tcPr>
          <w:p>
            <w:r>
              <w:rPr>
                <w:b/>
                <w:bCs/>
                <w:color w:val="FFFFFF"/>
                <w:sz w:val="20"/>
                <w:szCs w:val="20"/>
              </w:rPr>
              <w:t>Time</w:t>
            </w:r>
          </w:p>
        </w:tc>
        <w:tc>
          <w:tcPr>
            <w:tcW w:type="dxa" w:w="700"/>
            <w:shd w:fill="0B1220" w:val="clear"/>
            <w:tcMar>
              <w:top w:type="dxa" w:w="80"/>
              <w:left w:type="dxa" w:w="120"/>
              <w:bottom w:type="dxa" w:w="80"/>
              <w:right w:type="dxa" w:w="120"/>
            </w:tcMar>
          </w:tcPr>
          <w:p>
            <w:r>
              <w:rPr>
                <w:b/>
                <w:bCs/>
                <w:color w:val="FFFFFF"/>
                <w:sz w:val="20"/>
                <w:szCs w:val="20"/>
              </w:rPr>
              <w:t>Min</w:t>
            </w:r>
          </w:p>
        </w:tc>
        <w:tc>
          <w:tcPr>
            <w:tcW w:type="dxa" w:w="3200"/>
            <w:shd w:fill="0B1220" w:val="clear"/>
            <w:tcMar>
              <w:top w:type="dxa" w:w="80"/>
              <w:left w:type="dxa" w:w="120"/>
              <w:bottom w:type="dxa" w:w="80"/>
              <w:right w:type="dxa" w:w="120"/>
            </w:tcMar>
          </w:tcPr>
          <w:p>
            <w:r>
              <w:rPr>
                <w:b/>
                <w:bCs/>
                <w:color w:val="FFFFFF"/>
                <w:sz w:val="20"/>
                <w:szCs w:val="20"/>
              </w:rPr>
              <w:t>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Open</w:t>
            </w:r>
          </w:p>
        </w:tc>
        <w:tc>
          <w:tcPr>
            <w:tcW w:type="dxa" w:w="3400"/>
            <w:shd w:fill="FFFFFF" w:val="clear"/>
            <w:tcMar>
              <w:top w:type="dxa" w:w="80"/>
              <w:left w:type="dxa" w:w="120"/>
              <w:bottom w:type="dxa" w:w="80"/>
              <w:right w:type="dxa" w:w="120"/>
            </w:tcMar>
          </w:tcPr>
          <w:p>
            <w:r>
              <w:rPr>
                <w:b w:val="false"/>
                <w:bCs w:val="false"/>
                <w:color w:val="3A3A3A"/>
                <w:sz w:val="20"/>
                <w:szCs w:val="20"/>
              </w:rPr>
              <w:t>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0:00–0:01</w:t>
            </w:r>
          </w:p>
        </w:tc>
        <w:tc>
          <w:tcPr>
            <w:tcW w:type="dxa" w:w="700"/>
            <w:shd w:fill="FFFFFF" w:val="clear"/>
            <w:tcMar>
              <w:top w:type="dxa" w:w="80"/>
              <w:left w:type="dxa" w:w="120"/>
              <w:bottom w:type="dxa" w:w="80"/>
              <w:right w:type="dxa" w:w="120"/>
            </w:tcMar>
          </w:tcPr>
          <w:p>
            <w:r>
              <w:rPr>
                <w:b w:val="false"/>
                <w:bCs w:val="false"/>
                <w:color w:val="3A3A3A"/>
                <w:sz w:val="20"/>
                <w:szCs w:val="20"/>
              </w:rPr>
              <w:t>1</w:t>
            </w:r>
          </w:p>
        </w:tc>
        <w:tc>
          <w:tcPr>
            <w:tcW w:type="dxa" w:w="3200"/>
            <w:shd w:fill="FFFFFF" w:val="clear"/>
            <w:tcMar>
              <w:top w:type="dxa" w:w="80"/>
              <w:left w:type="dxa" w:w="120"/>
              <w:bottom w:type="dxa" w:w="80"/>
              <w:right w:type="dxa" w:w="120"/>
            </w:tcMar>
          </w:tcPr>
          <w:p>
            <w:r>
              <w:rPr>
                <w:b w:val="false"/>
                <w:bCs w:val="false"/>
                <w:color w:val="3A3A3A"/>
                <w:sz w:val="20"/>
                <w:szCs w:val="20"/>
              </w:rPr>
              <w:t>Slide 1</w:t>
            </w:r>
          </w:p>
        </w:tc>
      </w:tr>
      <w:tr>
        <w:tc>
          <w:tcPr>
            <w:tcW w:type="dxa" w:w="700"/>
            <w:shd w:fill="F4F6FA" w:val="clear"/>
            <w:tcMar>
              <w:top w:type="dxa" w:w="80"/>
              <w:left w:type="dxa" w:w="120"/>
              <w:bottom w:type="dxa" w:w="80"/>
              <w:right w:type="dxa" w:w="120"/>
            </w:tcMar>
          </w:tcPr>
          <w:p>
            <w:r>
              <w:rPr>
                <w:b w:val="false"/>
                <w:bCs w:val="false"/>
                <w:color w:val="3A3A3A"/>
                <w:sz w:val="20"/>
                <w:szCs w:val="20"/>
              </w:rPr>
              <w:t>PRE</w:t>
            </w:r>
          </w:p>
        </w:tc>
        <w:tc>
          <w:tcPr>
            <w:tcW w:type="dxa" w:w="3400"/>
            <w:shd w:fill="F4F6FA" w:val="clear"/>
            <w:tcMar>
              <w:top w:type="dxa" w:w="80"/>
              <w:left w:type="dxa" w:w="120"/>
              <w:bottom w:type="dxa" w:w="80"/>
              <w:right w:type="dxa" w:w="120"/>
            </w:tcMar>
          </w:tcPr>
          <w:p>
            <w:r>
              <w:rPr>
                <w:b w:val="false"/>
                <w:bCs w:val="false"/>
                <w:color w:val="3A3A3A"/>
                <w:sz w:val="20"/>
                <w:szCs w:val="20"/>
              </w:rPr>
              <w:t>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0:01–0:05</w:t>
            </w:r>
          </w:p>
        </w:tc>
        <w:tc>
          <w:tcPr>
            <w:tcW w:type="dxa" w:w="700"/>
            <w:shd w:fill="F4F6FA" w:val="clear"/>
            <w:tcMar>
              <w:top w:type="dxa" w:w="80"/>
              <w:left w:type="dxa" w:w="120"/>
              <w:bottom w:type="dxa" w:w="80"/>
              <w:right w:type="dxa" w:w="120"/>
            </w:tcMar>
          </w:tcPr>
          <w:p>
            <w:r>
              <w:rPr>
                <w:b w:val="false"/>
                <w:bCs w:val="false"/>
                <w:color w:val="3A3A3A"/>
                <w:sz w:val="20"/>
                <w:szCs w:val="20"/>
              </w:rPr>
              <w:t>4</w:t>
            </w:r>
          </w:p>
        </w:tc>
        <w:tc>
          <w:tcPr>
            <w:tcW w:type="dxa" w:w="3200"/>
            <w:shd w:fill="F4F6FA" w:val="clear"/>
            <w:tcMar>
              <w:top w:type="dxa" w:w="80"/>
              <w:left w:type="dxa" w:w="120"/>
              <w:bottom w:type="dxa" w:w="80"/>
              <w:right w:type="dxa" w:w="120"/>
            </w:tcMar>
          </w:tcPr>
          <w:p>
            <w:r>
              <w:rPr>
                <w:b w:val="false"/>
                <w:bCs w:val="false"/>
                <w:color w:val="3A3A3A"/>
                <w:sz w:val="20"/>
                <w:szCs w:val="20"/>
              </w:rPr>
              <w:t>Slides 3–4</w:t>
            </w:r>
          </w:p>
        </w:tc>
      </w:tr>
      <w:tr>
        <w:tc>
          <w:tcPr>
            <w:tcW w:type="dxa" w:w="700"/>
            <w:shd w:fill="FFFFFF" w:val="clear"/>
            <w:tcMar>
              <w:top w:type="dxa" w:w="80"/>
              <w:left w:type="dxa" w:w="120"/>
              <w:bottom w:type="dxa" w:w="80"/>
              <w:right w:type="dxa" w:w="120"/>
            </w:tcMar>
          </w:tcPr>
          <w:p>
            <w:r>
              <w:rPr>
                <w:b w:val="false"/>
                <w:bCs w:val="false"/>
                <w:color w:val="3A3A3A"/>
                <w:sz w:val="20"/>
                <w:szCs w:val="20"/>
              </w:rPr>
              <w:t>I</w:t>
            </w:r>
          </w:p>
        </w:tc>
        <w:tc>
          <w:tcPr>
            <w:tcW w:type="dxa" w:w="3400"/>
            <w:shd w:fill="FFFFFF" w:val="clear"/>
            <w:tcMar>
              <w:top w:type="dxa" w:w="80"/>
              <w:left w:type="dxa" w:w="120"/>
              <w:bottom w:type="dxa" w:w="80"/>
              <w:right w:type="dxa" w:w="120"/>
            </w:tcMar>
          </w:tcPr>
          <w:p>
            <w:r>
              <w:rPr>
                <w:b w:val="false"/>
                <w:bCs w:val="false"/>
                <w:color w:val="3A3A3A"/>
                <w:sz w:val="20"/>
                <w:szCs w:val="20"/>
              </w:rPr>
              <w:t>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0:05–0:10</w:t>
            </w:r>
          </w:p>
        </w:tc>
        <w:tc>
          <w:tcPr>
            <w:tcW w:type="dxa" w:w="700"/>
            <w:shd w:fill="FFFFFF" w:val="clear"/>
            <w:tcMar>
              <w:top w:type="dxa" w:w="80"/>
              <w:left w:type="dxa" w:w="120"/>
              <w:bottom w:type="dxa" w:w="80"/>
              <w:right w:type="dxa" w:w="120"/>
            </w:tcMar>
          </w:tcPr>
          <w:p>
            <w:r>
              <w:rPr>
                <w:b w:val="false"/>
                <w:bCs w:val="false"/>
                <w:color w:val="3A3A3A"/>
                <w:sz w:val="20"/>
                <w:szCs w:val="20"/>
              </w:rPr>
              <w:t>5</w:t>
            </w:r>
          </w:p>
        </w:tc>
        <w:tc>
          <w:tcPr>
            <w:tcW w:type="dxa" w:w="3200"/>
            <w:shd w:fill="FFFFFF" w:val="clear"/>
            <w:tcMar>
              <w:top w:type="dxa" w:w="80"/>
              <w:left w:type="dxa" w:w="120"/>
              <w:bottom w:type="dxa" w:w="80"/>
              <w:right w:type="dxa" w:w="120"/>
            </w:tcMar>
          </w:tcPr>
          <w:p>
            <w:r>
              <w:rPr>
                <w:b w:val="false"/>
                <w:bCs w:val="false"/>
                <w:color w:val="3A3A3A"/>
                <w:sz w:val="20"/>
                <w:szCs w:val="20"/>
              </w:rPr>
              <w:t>Slides 5–6</w:t>
            </w:r>
          </w:p>
        </w:tc>
      </w:tr>
      <w:tr>
        <w:tc>
          <w:tcPr>
            <w:tcW w:type="dxa" w:w="700"/>
            <w:shd w:fill="F4F6FA" w:val="clear"/>
            <w:tcMar>
              <w:top w:type="dxa" w:w="80"/>
              <w:left w:type="dxa" w:w="120"/>
              <w:bottom w:type="dxa" w:w="80"/>
              <w:right w:type="dxa" w:w="120"/>
            </w:tcMar>
          </w:tcPr>
          <w:p>
            <w:r>
              <w:rPr>
                <w:b w:val="false"/>
                <w:bCs w:val="false"/>
                <w:color w:val="3A3A3A"/>
                <w:sz w:val="20"/>
                <w:szCs w:val="20"/>
              </w:rPr>
              <w:t>II</w:t>
            </w:r>
          </w:p>
        </w:tc>
        <w:tc>
          <w:tcPr>
            <w:tcW w:type="dxa" w:w="3400"/>
            <w:shd w:fill="F4F6FA" w:val="clear"/>
            <w:tcMar>
              <w:top w:type="dxa" w:w="80"/>
              <w:left w:type="dxa" w:w="120"/>
              <w:bottom w:type="dxa" w:w="80"/>
              <w:right w:type="dxa" w:w="120"/>
            </w:tcMar>
          </w:tcPr>
          <w:p>
            <w:r>
              <w:rPr>
                <w:b w:val="false"/>
                <w:bCs w:val="false"/>
                <w:color w:val="3A3A3A"/>
                <w:sz w:val="20"/>
                <w:szCs w:val="20"/>
              </w:rPr>
              <w:t>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0:10–0:16</w:t>
            </w:r>
          </w:p>
        </w:tc>
        <w:tc>
          <w:tcPr>
            <w:tcW w:type="dxa" w:w="700"/>
            <w:shd w:fill="F4F6FA" w:val="clear"/>
            <w:tcMar>
              <w:top w:type="dxa" w:w="80"/>
              <w:left w:type="dxa" w:w="120"/>
              <w:bottom w:type="dxa" w:w="80"/>
              <w:right w:type="dxa" w:w="120"/>
            </w:tcMar>
          </w:tcPr>
          <w:p>
            <w:r>
              <w:rPr>
                <w:b w:val="false"/>
                <w:bCs w:val="false"/>
                <w:color w:val="3A3A3A"/>
                <w:sz w:val="20"/>
                <w:szCs w:val="20"/>
              </w:rPr>
              <w:t>6</w:t>
            </w:r>
          </w:p>
        </w:tc>
        <w:tc>
          <w:tcPr>
            <w:tcW w:type="dxa" w:w="3200"/>
            <w:shd w:fill="F4F6FA" w:val="clear"/>
            <w:tcMar>
              <w:top w:type="dxa" w:w="80"/>
              <w:left w:type="dxa" w:w="120"/>
              <w:bottom w:type="dxa" w:w="80"/>
              <w:right w:type="dxa" w:w="120"/>
            </w:tcMar>
          </w:tcPr>
          <w:p>
            <w:r>
              <w:rPr>
                <w:b w:val="false"/>
                <w:bCs w:val="false"/>
                <w:color w:val="3A3A3A"/>
                <w:sz w:val="20"/>
                <w:szCs w:val="20"/>
              </w:rPr>
              <w:t>Slides 7–8</w:t>
            </w:r>
          </w:p>
        </w:tc>
      </w:tr>
      <w:tr>
        <w:tc>
          <w:tcPr>
            <w:tcW w:type="dxa" w:w="700"/>
            <w:shd w:fill="FFFFFF" w:val="clear"/>
            <w:tcMar>
              <w:top w:type="dxa" w:w="80"/>
              <w:left w:type="dxa" w:w="120"/>
              <w:bottom w:type="dxa" w:w="80"/>
              <w:right w:type="dxa" w:w="120"/>
            </w:tcMar>
          </w:tcPr>
          <w:p>
            <w:r>
              <w:rPr>
                <w:b w:val="false"/>
                <w:bCs w:val="false"/>
                <w:color w:val="3A3A3A"/>
                <w:sz w:val="20"/>
                <w:szCs w:val="20"/>
              </w:rPr>
              <w:t>III</w:t>
            </w:r>
          </w:p>
        </w:tc>
        <w:tc>
          <w:tcPr>
            <w:tcW w:type="dxa" w:w="3400"/>
            <w:shd w:fill="FFFFFF" w:val="clear"/>
            <w:tcMar>
              <w:top w:type="dxa" w:w="80"/>
              <w:left w:type="dxa" w:w="120"/>
              <w:bottom w:type="dxa" w:w="80"/>
              <w:right w:type="dxa" w:w="120"/>
            </w:tcMar>
          </w:tcPr>
          <w:p>
            <w:r>
              <w:rPr>
                <w:b w:val="false"/>
                <w:bCs w:val="false"/>
                <w:color w:val="3A3A3A"/>
                <w:sz w:val="20"/>
                <w:szCs w:val="20"/>
              </w:rPr>
              <w:t>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0:16–0:44</w:t>
            </w:r>
          </w:p>
        </w:tc>
        <w:tc>
          <w:tcPr>
            <w:tcW w:type="dxa" w:w="700"/>
            <w:shd w:fill="FFFFFF" w:val="clear"/>
            <w:tcMar>
              <w:top w:type="dxa" w:w="80"/>
              <w:left w:type="dxa" w:w="120"/>
              <w:bottom w:type="dxa" w:w="80"/>
              <w:right w:type="dxa" w:w="120"/>
            </w:tcMar>
          </w:tcPr>
          <w:p>
            <w:r>
              <w:rPr>
                <w:b w:val="false"/>
                <w:bCs w:val="false"/>
                <w:color w:val="3A3A3A"/>
                <w:sz w:val="20"/>
                <w:szCs w:val="20"/>
              </w:rPr>
              <w:t>28</w:t>
            </w:r>
          </w:p>
        </w:tc>
        <w:tc>
          <w:tcPr>
            <w:tcW w:type="dxa" w:w="3200"/>
            <w:shd w:fill="FFFFFF" w:val="clear"/>
            <w:tcMar>
              <w:top w:type="dxa" w:w="80"/>
              <w:left w:type="dxa" w:w="120"/>
              <w:bottom w:type="dxa" w:w="80"/>
              <w:right w:type="dxa" w:w="120"/>
            </w:tcMar>
          </w:tcPr>
          <w:p>
            <w:r>
              <w:rPr>
                <w:b w:val="false"/>
                <w:bCs w:val="false"/>
                <w:color w:val="3A3A3A"/>
                <w:sz w:val="20"/>
                <w:szCs w:val="20"/>
              </w:rPr>
              <w:t>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IV</w:t>
            </w:r>
          </w:p>
        </w:tc>
        <w:tc>
          <w:tcPr>
            <w:tcW w:type="dxa" w:w="3400"/>
            <w:shd w:fill="F4F6FA" w:val="clear"/>
            <w:tcMar>
              <w:top w:type="dxa" w:w="80"/>
              <w:left w:type="dxa" w:w="120"/>
              <w:bottom w:type="dxa" w:w="80"/>
              <w:right w:type="dxa" w:w="120"/>
            </w:tcMar>
          </w:tcPr>
          <w:p>
            <w:r>
              <w:rPr>
                <w:b w:val="false"/>
                <w:bCs w:val="false"/>
                <w:color w:val="3A3A3A"/>
                <w:sz w:val="20"/>
                <w:szCs w:val="20"/>
              </w:rPr>
              <w:t>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0:44–0:52</w:t>
            </w:r>
          </w:p>
        </w:tc>
        <w:tc>
          <w:tcPr>
            <w:tcW w:type="dxa" w:w="700"/>
            <w:shd w:fill="F4F6FA" w:val="clear"/>
            <w:tcMar>
              <w:top w:type="dxa" w:w="80"/>
              <w:left w:type="dxa" w:w="120"/>
              <w:bottom w:type="dxa" w:w="80"/>
              <w:right w:type="dxa" w:w="120"/>
            </w:tcMar>
          </w:tcPr>
          <w:p>
            <w:r>
              <w:rPr>
                <w:b w:val="false"/>
                <w:bCs w:val="false"/>
                <w:color w:val="3A3A3A"/>
                <w:sz w:val="20"/>
                <w:szCs w:val="20"/>
              </w:rPr>
              <w:t>8</w:t>
            </w:r>
          </w:p>
        </w:tc>
        <w:tc>
          <w:tcPr>
            <w:tcW w:type="dxa" w:w="3200"/>
            <w:shd w:fill="F4F6FA" w:val="clear"/>
            <w:tcMar>
              <w:top w:type="dxa" w:w="80"/>
              <w:left w:type="dxa" w:w="120"/>
              <w:bottom w:type="dxa" w:w="80"/>
              <w:right w:type="dxa" w:w="120"/>
            </w:tcMar>
          </w:tcPr>
          <w:p>
            <w:r>
              <w:rPr>
                <w:b w:val="false"/>
                <w:bCs w:val="false"/>
                <w:color w:val="3A3A3A"/>
                <w:sz w:val="20"/>
                <w:szCs w:val="20"/>
              </w:rPr>
              <w:t>Slide 10</w:t>
            </w:r>
          </w:p>
        </w:tc>
      </w:tr>
      <w:tr>
        <w:tc>
          <w:tcPr>
            <w:tcW w:type="dxa" w:w="700"/>
            <w:shd w:fill="FFFFFF" w:val="clear"/>
            <w:tcMar>
              <w:top w:type="dxa" w:w="80"/>
              <w:left w:type="dxa" w:w="120"/>
              <w:bottom w:type="dxa" w:w="80"/>
              <w:right w:type="dxa" w:w="120"/>
            </w:tcMar>
          </w:tcPr>
          <w:p>
            <w:r>
              <w:rPr>
                <w:b w:val="false"/>
                <w:bCs w:val="false"/>
                <w:color w:val="3A3A3A"/>
                <w:sz w:val="20"/>
                <w:szCs w:val="20"/>
              </w:rPr>
              <w:t>V</w:t>
            </w:r>
          </w:p>
        </w:tc>
        <w:tc>
          <w:tcPr>
            <w:tcW w:type="dxa" w:w="3400"/>
            <w:shd w:fill="FFFFFF" w:val="clear"/>
            <w:tcMar>
              <w:top w:type="dxa" w:w="80"/>
              <w:left w:type="dxa" w:w="120"/>
              <w:bottom w:type="dxa" w:w="80"/>
              <w:right w:type="dxa" w:w="120"/>
            </w:tcMar>
          </w:tcPr>
          <w:p>
            <w:r>
              <w:rPr>
                <w:b w:val="false"/>
                <w:bCs w:val="false"/>
                <w:color w:val="3A3A3A"/>
                <w:sz w:val="20"/>
                <w:szCs w:val="20"/>
              </w:rPr>
              <w:t>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0:52–0:58</w:t>
            </w:r>
          </w:p>
        </w:tc>
        <w:tc>
          <w:tcPr>
            <w:tcW w:type="dxa" w:w="700"/>
            <w:shd w:fill="FFFFFF" w:val="clear"/>
            <w:tcMar>
              <w:top w:type="dxa" w:w="80"/>
              <w:left w:type="dxa" w:w="120"/>
              <w:bottom w:type="dxa" w:w="80"/>
              <w:right w:type="dxa" w:w="120"/>
            </w:tcMar>
          </w:tcPr>
          <w:p>
            <w:r>
              <w:rPr>
                <w:b w:val="false"/>
                <w:bCs w:val="false"/>
                <w:color w:val="3A3A3A"/>
                <w:sz w:val="20"/>
                <w:szCs w:val="20"/>
              </w:rPr>
              <w:t>6</w:t>
            </w:r>
          </w:p>
        </w:tc>
        <w:tc>
          <w:tcPr>
            <w:tcW w:type="dxa" w:w="3200"/>
            <w:shd w:fill="FFFFFF" w:val="clear"/>
            <w:tcMar>
              <w:top w:type="dxa" w:w="80"/>
              <w:left w:type="dxa" w:w="120"/>
              <w:bottom w:type="dxa" w:w="80"/>
              <w:right w:type="dxa" w:w="120"/>
            </w:tcMar>
          </w:tcPr>
          <w:p>
            <w:r>
              <w:rPr>
                <w:b w:val="false"/>
                <w:bCs w:val="false"/>
                <w:color w:val="3A3A3A"/>
                <w:sz w:val="20"/>
                <w:szCs w:val="20"/>
              </w:rPr>
              <w:t>Slide 11</w:t>
            </w:r>
          </w:p>
        </w:tc>
      </w:tr>
      <w:tr>
        <w:tc>
          <w:tcPr>
            <w:tcW w:type="dxa" w:w="700"/>
            <w:shd w:fill="F4F6FA" w:val="clear"/>
            <w:tcMar>
              <w:top w:type="dxa" w:w="80"/>
              <w:left w:type="dxa" w:w="120"/>
              <w:bottom w:type="dxa" w:w="80"/>
              <w:right w:type="dxa" w:w="120"/>
            </w:tcMar>
          </w:tcPr>
          <w:p>
            <w:r>
              <w:rPr>
                <w:b w:val="false"/>
                <w:bCs w:val="false"/>
                <w:color w:val="3A3A3A"/>
                <w:sz w:val="20"/>
                <w:szCs w:val="20"/>
              </w:rPr>
              <w:t>—</w:t>
            </w:r>
          </w:p>
        </w:tc>
        <w:tc>
          <w:tcPr>
            <w:tcW w:type="dxa" w:w="3400"/>
            <w:shd w:fill="F4F6FA" w:val="clear"/>
            <w:tcMar>
              <w:top w:type="dxa" w:w="80"/>
              <w:left w:type="dxa" w:w="120"/>
              <w:bottom w:type="dxa" w:w="80"/>
              <w:right w:type="dxa" w:w="120"/>
            </w:tcMar>
          </w:tcPr>
          <w:p>
            <w:r>
              <w:rPr>
                <w:b w:val="false"/>
                <w:bCs w:val="false"/>
                <w:color w:val="3A3A3A"/>
                <w:sz w:val="20"/>
                <w:szCs w:val="20"/>
              </w:rPr>
              <w:t>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0:58–1:00</w:t>
            </w:r>
          </w:p>
        </w:tc>
        <w:tc>
          <w:tcPr>
            <w:tcW w:type="dxa" w:w="700"/>
            <w:shd w:fill="F4F6FA" w:val="clear"/>
            <w:tcMar>
              <w:top w:type="dxa" w:w="80"/>
              <w:left w:type="dxa" w:w="120"/>
              <w:bottom w:type="dxa" w:w="80"/>
              <w:right w:type="dxa" w:w="120"/>
            </w:tcMar>
          </w:tcPr>
          <w:p>
            <w:r>
              <w:rPr>
                <w:b w:val="false"/>
                <w:bCs w:val="false"/>
                <w:color w:val="3A3A3A"/>
                <w:sz w:val="20"/>
                <w:szCs w:val="20"/>
              </w:rPr>
              <w:t>2</w:t>
            </w:r>
          </w:p>
        </w:tc>
        <w:tc>
          <w:tcPr>
            <w:tcW w:type="dxa" w:w="3200"/>
            <w:shd w:fill="F4F6FA" w:val="clear"/>
            <w:tcMar>
              <w:top w:type="dxa" w:w="80"/>
              <w:left w:type="dxa" w:w="120"/>
              <w:bottom w:type="dxa" w:w="80"/>
              <w:right w:type="dxa" w:w="120"/>
            </w:tcMar>
          </w:tcPr>
          <w:p>
            <w:r>
              <w:rPr>
                <w:b w:val="false"/>
                <w:bCs w:val="false"/>
                <w:color w:val="3A3A3A"/>
                <w:sz w:val="20"/>
                <w:szCs w:val="20"/>
              </w:rPr>
              <w:t>Slide 12</w:t>
            </w:r>
          </w:p>
        </w:tc>
      </w:tr>
    </w:tbl>
    <w:p>
      <w:pPr>
        <w:spacing w:after="200"/>
      </w:pPr>
    </w:p>
    <w:p>
      <w:pPr>
        <w:pStyle w:val="Heading3"/>
        <w:spacing w:after="80" w:before="180"/>
      </w:pPr>
      <w:r>
        <w:rPr>
          <w:b/>
          <w:bCs/>
        </w:rPr>
        <w:t>Opening Line (0:00–0:01)</w:t>
      </w:r>
    </w:p>
    <w:p>
      <w:pPr>
        <w:spacing w:after="100"/>
        <w:ind w:left="360"/>
      </w:pPr>
      <w:r>
        <w:rPr>
          <w:b/>
          <w:bCs/>
          <w:color w:val="0E8C79"/>
        </w:rPr>
        <w:t xml:space="preserve">SAY: </w:t>
      </w:r>
      <w:r>
        <w:rPr>
          <w:i/>
          <w:iCs/>
        </w:rPr>
        <w:t>“Quick vocabulary note before we dive in: ‘stochastic’ just means probability-based rather than fixed — that's the whole shift we're here to talk about today.”</w:t>
      </w:r>
    </w:p>
    <w:p>
      <w:pPr>
        <w:spacing w:after="140"/>
        <w:ind w:left="360"/>
      </w:pPr>
      <w:r>
        <w:rPr>
          <w:b/>
          <w:bCs/>
          <w:color w:val="B8720C"/>
        </w:rPr>
        <w:t xml:space="preserve">DO: </w:t>
      </w:r>
      <w:r>
        <w:t>Say this over Slide 1, pointing at the definition line under the title, before advancing to the Agenda.</w:t>
      </w:r>
    </w:p>
    <w:p>
      <w:pPr>
        <w:pStyle w:val="Heading2"/>
        <w:spacing w:after="120" w:before="260"/>
      </w:pPr>
      <w:r>
        <w:rPr>
          <w:b/>
          <w:bCs/>
          <w:color w:val="5B4FC4"/>
        </w:rPr>
        <w:t>3. Framework Precursor — The 7 Pillars</w:t>
      </w:r>
    </w:p>
    <w:p>
      <w:pPr>
        <w:spacing w:after="120"/>
      </w:pPr>
      <w:r>
        <w:t>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“Before we get into the story, I want to give you the map we'll be walking. Everything you see today maps back to one of seven pillars.”</w:t>
      </w:r>
    </w:p>
    <w:p>
      <w:pPr>
        <w:spacing w:after="140"/>
        <w:ind w:left="360"/>
      </w:pPr>
      <w:r>
        <w:rPr>
          <w:b/>
          <w:bCs/>
          <w:color w:val="B8720C"/>
        </w:rPr>
        <w:t xml:space="preserve">DO: </w:t>
      </w:r>
      <w:r>
        <w:t>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“Portfolio allocation, capacity planning, delivery risk, process control, talent elevation, financial precision, and business outcome. Seven pillars, one system.”</w:t>
      </w:r>
    </w:p>
    <w:p>
      <w:pPr>
        <w:spacing w:after="140"/>
        <w:ind w:left="360"/>
      </w:pPr>
      <w:r>
        <w:rPr>
          <w:b/>
          <w:bCs/>
          <w:color w:val="B8720C"/>
        </w:rPr>
        <w:t xml:space="preserve">DO: </w:t>
      </w:r>
      <w:r>
        <w:t>Advance to Slide 4.</w:t>
      </w:r>
    </w:p>
    <w:p>
      <w:pPr>
        <w:spacing w:after="100"/>
        <w:ind w:left="360"/>
      </w:pPr>
      <w:r>
        <w:rPr>
          <w:b/>
          <w:bCs/>
          <w:color w:val="0E8C79"/>
        </w:rPr>
        <w:t xml:space="preserve">SAY: </w:t>
      </w:r>
      <w:r>
        <w:rPr>
          <w:i/>
          <w:iCs/>
        </w:rPr>
        <w:t>“And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“Hold onto this framework. Every time a pillar comes up for the rest of the hour, you'll already know where it fits.”</w:t>
      </w:r>
    </w:p>
    <w:p>
      <w:pPr>
        <w:pStyle w:val="Heading2"/>
        <w:spacing w:after="120" w:before="260"/>
      </w:pPr>
      <w:r>
        <w:rPr>
          <w:b/>
          <w:bCs/>
          <w:color w:val="C13A3E"/>
        </w:rPr>
        <w:t>4. Act I — The Leader's Anxiety</w:t>
      </w:r>
    </w:p>
    <w:p>
      <w:pPr>
        <w:spacing w:after="120"/>
      </w:pPr>
      <w:r>
        <w:t>0:05–0:10  ·  Slides 5–6  ·  Objective: name the discomfort the room already feels before offering any solution.</w:t>
      </w:r>
    </w:p>
    <w:p>
      <w:pPr>
        <w:spacing w:after="100"/>
        <w:ind w:left="360"/>
      </w:pPr>
      <w:r>
        <w:rPr>
          <w:b/>
          <w:bCs/>
          <w:color w:val="0E8C79"/>
        </w:rPr>
        <w:t xml:space="preserve">SAY: </w:t>
      </w:r>
      <w:r>
        <w:rPr>
          <w:i/>
          <w:iCs/>
        </w:rPr>
        <w:t>“Every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Advance to Slide 6. Point at the Master Tracker mock — let the room read the RAG colors and the stale note before you speak.</w:t>
      </w:r>
    </w:p>
    <w:p>
      <w:pPr>
        <w:spacing w:after="100"/>
        <w:ind w:left="360"/>
      </w:pPr>
      <w:r>
        <w:rPr>
          <w:b/>
          <w:bCs/>
          <w:color w:val="0E8C79"/>
        </w:rPr>
        <w:t xml:space="preserve">SAY: </w:t>
      </w:r>
      <w:r>
        <w:rPr>
          <w:i/>
          <w:iCs/>
        </w:rPr>
        <w:t>“Sixty-two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“That's Act One. Uncertainty about whether strategy is actually translating into execution, and whether the data underneath it can be trusted.”</w:t>
      </w:r>
    </w:p>
    <w:p>
      <w:pPr>
        <w:pStyle w:val="Heading2"/>
        <w:spacing w:after="120" w:before="260"/>
      </w:pPr>
      <w:r>
        <w:rPr>
          <w:b/>
          <w:bCs/>
          <w:color w:val="B8720C"/>
        </w:rPr>
        <w:t>5. Act II — The Operator's Grind</w:t>
      </w:r>
    </w:p>
    <w:p>
      <w:pPr>
        <w:spacing w:after="120"/>
      </w:pPr>
      <w:r>
        <w:t>0:10–0:16  ·  Slides 7–8  ·  Objective: show the audience where the operator's time actually goes, so the AI story in Act III has a concrete 'before.'</w:t>
      </w:r>
    </w:p>
    <w:p>
      <w:pPr>
        <w:spacing w:after="100"/>
        <w:ind w:left="360"/>
      </w:pPr>
      <w:r>
        <w:rPr>
          <w:b/>
          <w:bCs/>
          <w:color w:val="0E8C79"/>
        </w:rPr>
        <w:t xml:space="preserve">SAY: </w:t>
      </w:r>
      <w:r>
        <w:rPr>
          <w:i/>
          <w:iCs/>
        </w:rPr>
        <w:t>“Behind that tracker is a person. Let's look at where her week actually goes.”</w:t>
      </w:r>
    </w:p>
    <w:p>
      <w:pPr>
        <w:spacing w:after="140"/>
        <w:ind w:left="360"/>
      </w:pPr>
      <w:r>
        <w:rPr>
          <w:b/>
          <w:bCs/>
          <w:color w:val="B8720C"/>
        </w:rPr>
        <w:t xml:space="preserve">DO: </w:t>
      </w:r>
      <w:r>
        <w:t>Advance to Slide 8. Let the 91% stat sit for a beat before narrating the task list.</w:t>
      </w:r>
    </w:p>
    <w:p>
      <w:pPr>
        <w:spacing w:after="100"/>
        <w:ind w:left="360"/>
      </w:pPr>
      <w:r>
        <w:rPr>
          <w:b/>
          <w:bCs/>
          <w:color w:val="0E8C79"/>
        </w:rPr>
        <w:t xml:space="preserve">SAY: </w:t>
      </w:r>
      <w:r>
        <w:rPr>
          <w:i/>
          <w:iCs/>
        </w:rPr>
        <w:t>“Chasing fourteen project owners for updates. Reconciling conflicting budget spreadsheets. Rebuilding the steering deck from scratch, again. Re-keying resourcing data by hand from four different calendars. Add it up, and eighty-seven percent of a forty-hour week goes to manufacturing clarity — not exercising judgment.”</w:t>
      </w:r>
    </w:p>
    <w:p>
      <w:pPr>
        <w:spacing w:after="100"/>
        <w:ind w:left="360"/>
      </w:pPr>
      <w:r>
        <w:rPr>
          <w:b/>
          <w:bCs/>
          <w:color w:val="0E8C79"/>
        </w:rPr>
        <w:t xml:space="preserve">SAY: </w:t>
      </w:r>
      <w:r>
        <w:rPr>
          <w:i/>
          <w:iCs/>
        </w:rPr>
        <w:t>“She has about three and a half hours left over each week to actually think about the portfolio she's supposedly managing.”</w:t>
      </w:r>
    </w:p>
    <w:p>
      <w:pPr>
        <w:spacing w:after="160"/>
        <w:ind w:left="360"/>
      </w:pPr>
      <w:r>
        <w:rPr>
          <w:b/>
          <w:bCs/>
          <w:color w:val="C13A3E"/>
        </w:rPr>
        <w:t xml:space="preserve">WATCH FOR: </w:t>
      </w:r>
      <w:r>
        <w:rPr>
          <w:i/>
          <w:iCs/>
        </w:rPr>
        <w:t>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“So the question isn't whether this person is capable. It's whether we're spending her time on the right eighty-seven percent. Let's look at what changes when AI does the assembly work instead of her.”</w:t>
      </w:r>
    </w:p>
    <w:p>
      <w:pPr>
        <w:pStyle w:val="Heading2"/>
        <w:spacing w:after="120" w:before="260"/>
      </w:pPr>
      <w:r>
        <w:rPr>
          <w:b/>
          <w:bCs/>
          <w:color w:val="0E8C79"/>
        </w:rPr>
        <w:t>6. Act III — The Hero Moment (Live Demo)</w:t>
      </w:r>
    </w:p>
    <w:p>
      <w:pPr>
        <w:spacing w:after="120"/>
      </w:pPr>
      <w:r>
        <w:t>0:16–0:44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Advance to Slide 9, then switch to the browser tab with the interactive demo. Click into Act III, then click through each pillar tab left to right as you narrate.</w:t>
      </w:r>
    </w:p>
    <w:p>
      <w:pPr>
        <w:spacing w:after="100"/>
        <w:ind w:left="360"/>
      </w:pPr>
      <w:r>
        <w:rPr>
          <w:b/>
          <w:bCs/>
          <w:color w:val="0E8C79"/>
        </w:rPr>
        <w:t xml:space="preserve">SAY: </w:t>
      </w:r>
      <w:r>
        <w:rPr>
          <w:i/>
          <w:iCs/>
        </w:rPr>
        <w:t>“Same data sources as what you just saw. Same portfolio. Now run through the Stochastic SPM engine — the same seven pillars from a few minutes ago, this time live.”</w:t>
      </w:r>
    </w:p>
    <w:p>
      <w:pPr>
        <w:pStyle w:val="Heading3"/>
        <w:spacing w:after="80" w:before="180"/>
      </w:pPr>
      <w:r>
        <w:rPr>
          <w:b/>
          <w:bCs/>
        </w:rPr>
        <w:t>Pillar 1 — Portfolio Value &amp; Strategic Allocation</w:t>
      </w:r>
    </w:p>
    <w:p>
      <w:pPr>
        <w:spacing w:after="140"/>
        <w:ind w:left="360"/>
      </w:pPr>
      <w:r>
        <w:rPr>
          <w:b/>
          <w:bCs/>
          <w:color w:val="B8720C"/>
        </w:rPr>
        <w:t xml:space="preserve">DO: </w:t>
      </w:r>
      <w:r>
        <w:t>Open the "P01 — Strategic Allocation" tab in the interactive demo.</w:t>
      </w:r>
    </w:p>
    <w:p>
      <w:pPr>
        <w:spacing w:after="100"/>
        <w:ind w:left="360"/>
      </w:pPr>
      <w:r>
        <w:rPr>
          <w:b/>
          <w:bCs/>
          <w:color w:val="0E8C79"/>
        </w:rPr>
        <w:t xml:space="preserve">SAY: </w:t>
      </w:r>
      <w:r>
        <w:rPr>
          <w:i/>
          <w:iCs/>
        </w:rPr>
        <w:t>“This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If pressed for time, show only the Strategic Drift Detection callouts and skip the cluster chart narration.</w:t>
      </w:r>
    </w:p>
    <w:p>
      <w:pPr>
        <w:pStyle w:val="Heading3"/>
        <w:spacing w:after="80" w:before="180"/>
      </w:pPr>
      <w:r>
        <w:rPr>
          <w:b/>
          <w:bCs/>
        </w:rPr>
        <w:t>Pillar 2 — Stochastic Capacity &amp; Resource Planning</w:t>
      </w:r>
    </w:p>
    <w:p>
      <w:pPr>
        <w:spacing w:after="140"/>
        <w:ind w:left="360"/>
      </w:pPr>
      <w:r>
        <w:rPr>
          <w:b/>
          <w:bCs/>
          <w:color w:val="B8720C"/>
        </w:rPr>
        <w:t xml:space="preserve">DO: </w:t>
      </w:r>
      <w:r>
        <w:t>Open the "P02 — Capacity &amp; Queuing" tab in the interactive demo.</w:t>
      </w:r>
    </w:p>
    <w:p>
      <w:pPr>
        <w:spacing w:after="100"/>
        <w:ind w:left="360"/>
      </w:pPr>
      <w:r>
        <w:rPr>
          <w:b/>
          <w:bCs/>
          <w:color w:val="0E8C79"/>
        </w:rPr>
        <w:t xml:space="preserve">SAY: </w:t>
      </w:r>
      <w:r>
        <w:rPr>
          <w:i/>
          <w:iCs/>
        </w:rPr>
        <w:t>“This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Operators will recognize this pattern immediately — let it land before moving on.</w:t>
      </w:r>
    </w:p>
    <w:p>
      <w:pPr>
        <w:pStyle w:val="Heading3"/>
        <w:spacing w:after="80" w:before="180"/>
      </w:pPr>
      <w:r>
        <w:rPr>
          <w:b/>
          <w:bCs/>
        </w:rPr>
        <w:t>Pillar 3 — Risk Management &amp; Predictive Delivery</w:t>
      </w:r>
    </w:p>
    <w:p>
      <w:pPr>
        <w:spacing w:after="140"/>
        <w:ind w:left="360"/>
      </w:pPr>
      <w:r>
        <w:rPr>
          <w:b/>
          <w:bCs/>
          <w:color w:val="B8720C"/>
        </w:rPr>
        <w:t xml:space="preserve">DO: </w:t>
      </w:r>
      <w:r>
        <w:t>Open the "P03 — Delivery Risk" tab in the interactive demo.</w:t>
      </w:r>
    </w:p>
    <w:p>
      <w:pPr>
        <w:spacing w:after="100"/>
        <w:ind w:left="360"/>
      </w:pPr>
      <w:r>
        <w:rPr>
          <w:b/>
          <w:bCs/>
          <w:color w:val="0E8C79"/>
        </w:rPr>
        <w:t xml:space="preserve">SAY: </w:t>
      </w:r>
      <w:r>
        <w:rPr>
          <w:i/>
          <w:iCs/>
        </w:rPr>
        <w:t>“This is ten thousand simulated paths for the Fraud Detection pipeline, run overnight — not one person's gut-feel RAG status.”</w:t>
      </w:r>
    </w:p>
    <w:p>
      <w:pPr>
        <w:spacing w:after="100"/>
        <w:ind w:left="360"/>
      </w:pPr>
      <w:r>
        <w:rPr>
          <w:b/>
          <w:bCs/>
          <w:color w:val="0E8C79"/>
        </w:rPr>
        <w:t xml:space="preserve">SAY: </w:t>
      </w:r>
      <w:r>
        <w:rPr>
          <w:i/>
          <w:iCs/>
        </w:rPr>
        <w:t>“The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“This is usually the moment a room goes quiet. That's the whole point: a single RAG color was hiding this.”</w:t>
      </w:r>
    </w:p>
    <w:p>
      <w:pPr>
        <w:spacing w:after="160"/>
        <w:ind w:left="360"/>
      </w:pPr>
      <w:r>
        <w:rPr>
          <w:b/>
          <w:bCs/>
          <w:color w:val="C13A3E"/>
        </w:rPr>
        <w:t xml:space="preserve">WATCH FOR: </w:t>
      </w:r>
      <w:r>
        <w:rPr>
          <w:i/>
          <w:iCs/>
        </w:rPr>
        <w:t>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Pillar 4 — Operational Metrics via Statistical Process Control</w:t>
      </w:r>
    </w:p>
    <w:p>
      <w:pPr>
        <w:spacing w:after="140"/>
        <w:ind w:left="360"/>
      </w:pPr>
      <w:r>
        <w:rPr>
          <w:b/>
          <w:bCs/>
          <w:color w:val="B8720C"/>
        </w:rPr>
        <w:t xml:space="preserve">DO: </w:t>
      </w:r>
      <w:r>
        <w:t>Open the "P04 — SPC Control" tab in the interactive demo.</w:t>
      </w:r>
    </w:p>
    <w:p>
      <w:pPr>
        <w:spacing w:after="100"/>
        <w:ind w:left="360"/>
      </w:pPr>
      <w:r>
        <w:rPr>
          <w:b/>
          <w:bCs/>
          <w:color w:val="0E8C79"/>
        </w:rPr>
        <w:t xml:space="preserve">SAY: </w:t>
      </w:r>
      <w:r>
        <w:rPr>
          <w:i/>
          <w:iCs/>
        </w:rPr>
        <w:t>“Remember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“Control limits, computed from this team's own historical variation — not a rule of thumb.”</w:t>
      </w:r>
    </w:p>
    <w:p>
      <w:pPr>
        <w:spacing w:after="100"/>
        <w:ind w:left="360"/>
      </w:pPr>
      <w:r>
        <w:rPr>
          <w:b/>
          <w:bCs/>
          <w:color w:val="0E8C79"/>
        </w:rPr>
        <w:t xml:space="preserve">SAY: </w:t>
      </w:r>
      <w:r>
        <w:rPr>
          <w:i/>
          <w:iCs/>
        </w:rPr>
        <w:t>“Look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Pillar 5 — Talent Elevation &amp; Maturity Management</w:t>
      </w:r>
    </w:p>
    <w:p>
      <w:pPr>
        <w:spacing w:after="140"/>
        <w:ind w:left="360"/>
      </w:pPr>
      <w:r>
        <w:rPr>
          <w:b/>
          <w:bCs/>
          <w:color w:val="B8720C"/>
        </w:rPr>
        <w:t xml:space="preserve">DO: </w:t>
      </w:r>
      <w:r>
        <w:t>Open the "P05 — Talent Elevation" tab in the interactive demo.</w:t>
      </w:r>
    </w:p>
    <w:p>
      <w:pPr>
        <w:spacing w:after="100"/>
        <w:ind w:left="360"/>
      </w:pPr>
      <w:r>
        <w:rPr>
          <w:b/>
          <w:bCs/>
          <w:color w:val="0E8C79"/>
        </w:rPr>
        <w:t xml:space="preserve">SAY: </w:t>
      </w:r>
      <w:r>
        <w:rPr>
          <w:i/>
          <w:iCs/>
        </w:rPr>
        <w:t>“This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close to where we started back in Act Two.”</w:t>
      </w:r>
    </w:p>
    <w:p>
      <w:pPr>
        <w:spacing w:after="100"/>
        <w:ind w:left="360"/>
      </w:pPr>
      <w:r>
        <w:rPr>
          <w:b/>
          <w:bCs/>
          <w:color w:val="0E8C79"/>
        </w:rPr>
        <w:t xml:space="preserve">SAY: </w:t>
      </w:r>
      <w:r>
        <w:rPr>
          <w:i/>
          <w:iCs/>
        </w:rPr>
        <w:t>“That's not a talent gap. It's an adoption gap — and it's closeable.”</w:t>
      </w:r>
    </w:p>
    <w:p>
      <w:pPr>
        <w:spacing w:after="100"/>
        <w:ind w:left="360"/>
      </w:pPr>
      <w:r>
        <w:rPr>
          <w:b/>
          <w:bCs/>
          <w:color w:val="0E8C79"/>
        </w:rPr>
        <w:t xml:space="preserve">SAY: </w:t>
      </w:r>
      <w:r>
        <w:rPr>
          <w:i/>
          <w:iCs/>
        </w:rPr>
        <w:t>“Underneath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If short on time, lead with the productivity comparison chart and one sentence on the mechanism — the adoption-gap framing is the part worth protecting.</w:t>
      </w:r>
    </w:p>
    <w:p>
      <w:pPr>
        <w:pStyle w:val="Heading3"/>
        <w:spacing w:after="80" w:before="180"/>
      </w:pPr>
      <w:r>
        <w:rPr>
          <w:b/>
          <w:bCs/>
        </w:rPr>
        <w:t>Pillar 6 — Financial Precision</w:t>
      </w:r>
    </w:p>
    <w:p>
      <w:pPr>
        <w:spacing w:after="140"/>
        <w:ind w:left="360"/>
      </w:pPr>
      <w:r>
        <w:rPr>
          <w:b/>
          <w:bCs/>
          <w:color w:val="B8720C"/>
        </w:rPr>
        <w:t xml:space="preserve">DO: </w:t>
      </w:r>
      <w:r>
        <w:t>Open the "P06 — Financial Precision" tab in the interactive demo.</w:t>
      </w:r>
    </w:p>
    <w:p>
      <w:pPr>
        <w:spacing w:after="100"/>
        <w:ind w:left="360"/>
      </w:pPr>
      <w:r>
        <w:rPr>
          <w:b/>
          <w:bCs/>
          <w:color w:val="0E8C79"/>
        </w:rPr>
        <w:t xml:space="preserve">SAY: </w:t>
      </w:r>
      <w:r>
        <w:rPr>
          <w:i/>
          <w:iCs/>
        </w:rPr>
        <w:t>“Estimate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This is usually the pillar that resonates most with the CFO-adjacent people in the room — let it breathe.</w:t>
      </w:r>
    </w:p>
    <w:p>
      <w:pPr>
        <w:pStyle w:val="Heading3"/>
        <w:spacing w:after="80" w:before="180"/>
      </w:pPr>
      <w:r>
        <w:rPr>
          <w:b/>
          <w:bCs/>
        </w:rPr>
        <w:t>Pillar 7 — Direct Business Outcome &amp; Value Realization</w:t>
      </w:r>
    </w:p>
    <w:p>
      <w:pPr>
        <w:spacing w:after="140"/>
        <w:ind w:left="360"/>
      </w:pPr>
      <w:r>
        <w:rPr>
          <w:b/>
          <w:bCs/>
          <w:color w:val="B8720C"/>
        </w:rPr>
        <w:t xml:space="preserve">DO: </w:t>
      </w:r>
      <w:r>
        <w:t>Open the "P07 — Outcome Twin" tab in the interactive demo.</w:t>
      </w:r>
    </w:p>
    <w:p>
      <w:pPr>
        <w:spacing w:after="100"/>
        <w:ind w:left="360"/>
      </w:pPr>
      <w:r>
        <w:rPr>
          <w:b/>
          <w:bCs/>
          <w:color w:val="0E8C79"/>
        </w:rPr>
        <w:t xml:space="preserve">SAY: </w:t>
      </w:r>
      <w:r>
        <w:rPr>
          <w:i/>
          <w:iCs/>
        </w:rPr>
        <w:t>“This is the pillar that shifts the whole conversation from 'did we ship on time' to 'did it matter.'”</w:t>
      </w:r>
    </w:p>
    <w:p>
      <w:pPr>
        <w:spacing w:after="100"/>
        <w:ind w:left="360"/>
      </w:pPr>
      <w:r>
        <w:rPr>
          <w:b/>
          <w:bCs/>
          <w:color w:val="0E8C79"/>
        </w:rPr>
        <w:t xml:space="preserve">SAY: </w:t>
      </w:r>
      <w:r>
        <w:rPr>
          <w:i/>
          <w:iCs/>
        </w:rPr>
        <w:t>“The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This is the strongest closing pillar for an exec audience — if you're behind schedule, protect time here over Pillars 4 or 5.</w:t>
      </w:r>
    </w:p>
    <w:p>
      <w:pPr>
        <w:spacing w:after="120"/>
      </w:pPr>
      <w:r>
        <w:rPr>
          <w:b/>
          <w:bCs/>
        </w:rPr>
        <w:t>That's the Hero Moment: seven pillars, one system, and every number on screen now carries a confidence interval instead of an opinion.</w:t>
      </w:r>
    </w:p>
    <w:p>
      <w:r/>
    </w:p>
    <w:p>
      <w:pPr>
        <w:pStyle w:val="Heading2"/>
        <w:spacing w:after="120" w:before="260"/>
      </w:pPr>
      <w:r>
        <w:rPr>
          <w:b/>
          <w:bCs/>
          <w:color w:val="5B4FC4"/>
        </w:rPr>
        <w:t>7. Act IV — The Value Hypothesis</w:t>
      </w:r>
    </w:p>
    <w:p>
      <w:pPr>
        <w:spacing w:after="120"/>
      </w:pPr>
      <w:r>
        <w:t>0:44–0:52  ·  Slide 10  ·  Objective: translate the demo into numbers a budget owner can defend upward.</w:t>
      </w:r>
    </w:p>
    <w:p>
      <w:pPr>
        <w:spacing w:after="100"/>
        <w:ind w:left="360"/>
      </w:pPr>
      <w:r>
        <w:rPr>
          <w:b/>
          <w:bCs/>
          <w:color w:val="0E8C79"/>
        </w:rPr>
        <w:t xml:space="preserve">SAY: </w:t>
      </w:r>
      <w:r>
        <w:rPr>
          <w:i/>
          <w:iCs/>
        </w:rPr>
        <w:t>“With the system doing the assembly work, value stops being an anecdote and starts being a number you can argue with.”</w:t>
      </w:r>
    </w:p>
    <w:p>
      <w:pPr>
        <w:spacing w:after="140"/>
        <w:ind w:left="360"/>
      </w:pPr>
      <w:r>
        <w:rPr>
          <w:b/>
          <w:bCs/>
          <w:color w:val="B8720C"/>
        </w:rPr>
        <w:t xml:space="preserve">DO: </w:t>
      </w:r>
      <w:r>
        <w:t>Advance to Slide 10. Walk the three stat cards left to right, then land on the decision-velocity comparison.</w:t>
      </w:r>
    </w:p>
    <w:p>
      <w:pPr>
        <w:spacing w:after="100"/>
        <w:ind w:left="360"/>
      </w:pPr>
      <w:r>
        <w:rPr>
          <w:b/>
          <w:bCs/>
          <w:color w:val="0E8C79"/>
        </w:rPr>
        <w:t xml:space="preserve">SAY: </w:t>
      </w:r>
      <w:r>
        <w:rPr>
          <w:i/>
          <w:iCs/>
        </w:rPr>
        <w:t>“Decisions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8. Act V — The Outcome Realized</w:t>
      </w:r>
    </w:p>
    <w:p>
      <w:pPr>
        <w:spacing w:after="120"/>
      </w:pPr>
      <w:r>
        <w:t>0:52–0:58  ·  Slide 11  ·  Objective: close the loop back to the anxiety named in Act I.</w:t>
      </w:r>
    </w:p>
    <w:p>
      <w:pPr>
        <w:spacing w:after="140"/>
        <w:ind w:left="360"/>
      </w:pPr>
      <w:r>
        <w:rPr>
          <w:b/>
          <w:bCs/>
          <w:color w:val="B8720C"/>
        </w:rPr>
        <w:t xml:space="preserve">DO: </w:t>
      </w:r>
      <w:r>
        <w:t>Advance to Slide 11. Read the closing quote slowly — it's designed to land as the answer to the Act I quote.</w:t>
      </w:r>
    </w:p>
    <w:p>
      <w:pPr>
        <w:spacing w:after="100"/>
        <w:ind w:left="360"/>
      </w:pPr>
      <w:r>
        <w:rPr>
          <w:b/>
          <w:bCs/>
          <w:color w:val="0E8C79"/>
        </w:rPr>
        <w:t xml:space="preserve">SAY: </w:t>
      </w:r>
      <w:r>
        <w:rPr>
          <w:i/>
          <w:iCs/>
        </w:rPr>
        <w:t>“Two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“And the leader we opened with — the trust survey score moved from 4.1 to 8.7. In their own words: 'I stopped asking whether the number was real. Now I ask what we're going to do about it.'”</w:t>
      </w:r>
    </w:p>
    <w:p>
      <w:pPr>
        <w:spacing w:after="120"/>
      </w:pPr>
      <w:r>
        <w:rPr>
          <w:b/>
          <w:bCs/>
        </w:rPr>
        <w:t>That's the arc closed: the anxiety that opened this story now has a measurable answer.</w:t>
      </w:r>
    </w:p>
    <w:p>
      <w:pPr>
        <w:pStyle w:val="Heading2"/>
        <w:spacing w:after="120" w:before="260"/>
      </w:pPr>
      <w:r>
        <w:rPr>
          <w:b/>
          <w:bCs/>
          <w:color w:val="0B1220"/>
        </w:rPr>
        <w:t>9. Close / Q&amp;A Buffer</w:t>
      </w:r>
    </w:p>
    <w:p>
      <w:pPr>
        <w:spacing w:after="120"/>
      </w:pPr>
      <w:r>
        <w:t>0:58–1:00  ·  Slide 12</w:t>
      </w:r>
    </w:p>
    <w:p>
      <w:pPr>
        <w:spacing w:after="100"/>
        <w:ind w:left="360"/>
      </w:pPr>
      <w:r>
        <w:rPr>
          <w:b/>
          <w:bCs/>
          <w:color w:val="0E8C79"/>
        </w:rPr>
        <w:t xml:space="preserve">SAY: </w:t>
      </w:r>
      <w:r>
        <w:rPr>
          <w:i/>
          <w:iCs/>
        </w:rPr>
        <w:t>“If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Open the floor. Common questions and suggested bridges are in the appendix below.</w:t>
      </w:r>
    </w:p>
    <w:p>
      <w:r/>
    </w:p>
    <w:p>
      <w:pPr>
        <w:pStyle w:val="Heading2"/>
        <w:spacing w:after="120" w:before="260"/>
      </w:pPr>
      <w:r>
        <w:rPr>
          <w:b/>
          <w:bCs/>
          <w:color w:val="0B1220"/>
        </w:rPr>
        <w:t>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w:t>
            </w:r>
          </w:p>
        </w:tc>
        <w:tc>
          <w:tcPr>
            <w:tcW w:type="dxa" w:w="3800"/>
            <w:shd w:fill="5B4FC4" w:val="clear"/>
            <w:tcMar>
              <w:top w:type="dxa" w:w="80"/>
              <w:left w:type="dxa" w:w="120"/>
              <w:bottom w:type="dxa" w:w="80"/>
              <w:right w:type="dxa" w:w="120"/>
            </w:tcMar>
          </w:tcPr>
          <w:p>
            <w:r>
              <w:rPr>
                <w:b/>
                <w:bCs/>
                <w:color w:val="FFFFFF"/>
                <w:sz w:val="20"/>
                <w:szCs w:val="20"/>
              </w:rPr>
              <w:t>Pillar</w:t>
            </w:r>
          </w:p>
        </w:tc>
        <w:tc>
          <w:tcPr>
            <w:tcW w:type="dxa" w:w="5200"/>
            <w:shd w:fill="5B4FC4" w:val="clear"/>
            <w:tcMar>
              <w:top w:type="dxa" w:w="80"/>
              <w:left w:type="dxa" w:w="120"/>
              <w:bottom w:type="dxa" w:w="80"/>
              <w:right w:type="dxa" w:w="120"/>
            </w:tcMar>
          </w:tcPr>
          <w:p>
            <w:r>
              <w:rPr>
                <w:b/>
                <w:bCs/>
                <w:color w:val="FFFFFF"/>
                <w:sz w:val="20"/>
                <w:szCs w:val="20"/>
              </w:rPr>
              <w:t>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1</w:t>
            </w:r>
          </w:p>
        </w:tc>
        <w:tc>
          <w:tcPr>
            <w:tcW w:type="dxa" w:w="3800"/>
            <w:shd w:fill="FFFFFF" w:val="clear"/>
            <w:tcMar>
              <w:top w:type="dxa" w:w="80"/>
              <w:left w:type="dxa" w:w="120"/>
              <w:bottom w:type="dxa" w:w="80"/>
              <w:right w:type="dxa" w:w="120"/>
            </w:tcMar>
          </w:tcPr>
          <w:p>
            <w:r>
              <w:rPr>
                <w:b w:val="false"/>
                <w:bCs w:val="false"/>
                <w:color w:val="3A3A3A"/>
                <w:sz w:val="20"/>
                <w:szCs w:val="20"/>
              </w:rPr>
              <w:t>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2</w:t>
            </w:r>
          </w:p>
        </w:tc>
        <w:tc>
          <w:tcPr>
            <w:tcW w:type="dxa" w:w="3800"/>
            <w:shd w:fill="F4F6FA" w:val="clear"/>
            <w:tcMar>
              <w:top w:type="dxa" w:w="80"/>
              <w:left w:type="dxa" w:w="120"/>
              <w:bottom w:type="dxa" w:w="80"/>
              <w:right w:type="dxa" w:w="120"/>
            </w:tcMar>
          </w:tcPr>
          <w:p>
            <w:r>
              <w:rPr>
                <w:b w:val="false"/>
                <w:bCs w:val="false"/>
                <w:color w:val="3A3A3A"/>
                <w:sz w:val="20"/>
                <w:szCs w:val="20"/>
              </w:rPr>
              <w:t>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3</w:t>
            </w:r>
          </w:p>
        </w:tc>
        <w:tc>
          <w:tcPr>
            <w:tcW w:type="dxa" w:w="3800"/>
            <w:shd w:fill="FFFFFF" w:val="clear"/>
            <w:tcMar>
              <w:top w:type="dxa" w:w="80"/>
              <w:left w:type="dxa" w:w="120"/>
              <w:bottom w:type="dxa" w:w="80"/>
              <w:right w:type="dxa" w:w="120"/>
            </w:tcMar>
          </w:tcPr>
          <w:p>
            <w:r>
              <w:rPr>
                <w:b w:val="false"/>
                <w:bCs w:val="false"/>
                <w:color w:val="3A3A3A"/>
                <w:sz w:val="20"/>
                <w:szCs w:val="20"/>
              </w:rPr>
              <w:t>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4</w:t>
            </w:r>
          </w:p>
        </w:tc>
        <w:tc>
          <w:tcPr>
            <w:tcW w:type="dxa" w:w="3800"/>
            <w:shd w:fill="F4F6FA" w:val="clear"/>
            <w:tcMar>
              <w:top w:type="dxa" w:w="80"/>
              <w:left w:type="dxa" w:w="120"/>
              <w:bottom w:type="dxa" w:w="80"/>
              <w:right w:type="dxa" w:w="120"/>
            </w:tcMar>
          </w:tcPr>
          <w:p>
            <w:r>
              <w:rPr>
                <w:b w:val="false"/>
                <w:bCs w:val="false"/>
                <w:color w:val="3A3A3A"/>
                <w:sz w:val="20"/>
                <w:szCs w:val="20"/>
              </w:rPr>
              <w:t>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5</w:t>
            </w:r>
          </w:p>
        </w:tc>
        <w:tc>
          <w:tcPr>
            <w:tcW w:type="dxa" w:w="3800"/>
            <w:shd w:fill="FFFFFF" w:val="clear"/>
            <w:tcMar>
              <w:top w:type="dxa" w:w="80"/>
              <w:left w:type="dxa" w:w="120"/>
              <w:bottom w:type="dxa" w:w="80"/>
              <w:right w:type="dxa" w:w="120"/>
            </w:tcMar>
          </w:tcPr>
          <w:p>
            <w:r>
              <w:rPr>
                <w:b w:val="false"/>
                <w:bCs w:val="false"/>
                <w:color w:val="3A3A3A"/>
                <w:sz w:val="20"/>
                <w:szCs w:val="20"/>
              </w:rPr>
              <w:t>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6</w:t>
            </w:r>
          </w:p>
        </w:tc>
        <w:tc>
          <w:tcPr>
            <w:tcW w:type="dxa" w:w="3800"/>
            <w:shd w:fill="F4F6FA" w:val="clear"/>
            <w:tcMar>
              <w:top w:type="dxa" w:w="80"/>
              <w:left w:type="dxa" w:w="120"/>
              <w:bottom w:type="dxa" w:w="80"/>
              <w:right w:type="dxa" w:w="120"/>
            </w:tcMar>
          </w:tcPr>
          <w:p>
            <w:r>
              <w:rPr>
                <w:b w:val="false"/>
                <w:bCs w:val="false"/>
                <w:color w:val="3A3A3A"/>
                <w:sz w:val="20"/>
                <w:szCs w:val="20"/>
              </w:rPr>
              <w:t>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7</w:t>
            </w:r>
          </w:p>
        </w:tc>
        <w:tc>
          <w:tcPr>
            <w:tcW w:type="dxa" w:w="3800"/>
            <w:shd w:fill="FFFFFF" w:val="clear"/>
            <w:tcMar>
              <w:top w:type="dxa" w:w="80"/>
              <w:left w:type="dxa" w:w="120"/>
              <w:bottom w:type="dxa" w:w="80"/>
              <w:right w:type="dxa" w:w="120"/>
            </w:tcMar>
          </w:tcPr>
          <w:p>
            <w:r>
              <w:rPr>
                <w:b w:val="false"/>
                <w:bCs w:val="false"/>
                <w:color w:val="3A3A3A"/>
                <w:sz w:val="20"/>
                <w:szCs w:val="20"/>
              </w:rPr>
              <w:t>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Outcome digital twin · causal inference</w:t>
            </w:r>
          </w:p>
        </w:tc>
      </w:tr>
    </w:tbl>
    <w:p>
      <w:pPr>
        <w:spacing w:after="200"/>
      </w:pPr>
    </w:p>
    <w:p>
      <w:pPr>
        <w:pStyle w:val="Heading2"/>
        <w:spacing w:after="120" w:before="260"/>
      </w:pPr>
      <w:r>
        <w:rPr>
          <w:b/>
          <w:bCs/>
          <w:color w:val="0B1220"/>
        </w:rPr>
        <w:t>Appendix B — Anticipated Questions</w:t>
      </w:r>
    </w:p>
    <w:p>
      <w:pPr>
        <w:pStyle w:val="Heading3"/>
        <w:spacing w:after="80" w:before="180"/>
      </w:pPr>
      <w:r>
        <w:rPr>
          <w:b/>
          <w:bCs/>
        </w:rPr>
        <w:t>“Is this connected to our real data, or is this a mockup?”</w:t>
      </w:r>
    </w:p>
    <w:p>
      <w:pPr>
        <w:spacing w:after="120"/>
      </w:pPr>
      <w:r>
        <w:t>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“How much historical data do we need before Monte Carlo / SPC / regression are reliable?”</w:t>
      </w:r>
    </w:p>
    <w:p>
      <w:pPr>
        <w:spacing w:after="120"/>
      </w:pPr>
      <w:r>
        <w:t>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“Does this replace our PMO analysts?”</w:t>
      </w:r>
    </w:p>
    <w:p>
      <w:pPr>
        <w:spacing w:after="120"/>
      </w:pPr>
      <w:r>
        <w:t>No — it removes the manual assembly work (Act II) so analysts spend their time on judgment (Pillar 5, Pillar 7), not on the mechanics of forecasting.</w:t>
      </w:r>
    </w:p>
    <w:p>
      <w:pPr>
        <w:pStyle w:val="Heading3"/>
        <w:spacing w:after="80" w:before="180"/>
      </w:pPr>
      <w:r>
        <w:rPr>
          <w:b/>
          <w:bCs/>
        </w:rPr>
        <w:t>“What's the governance model for the automated triggers (Pillar 6)?”</w:t>
      </w:r>
    </w:p>
    <w:p>
      <w:pPr>
        <w:spacing w:after="120"/>
      </w:pPr>
      <w:r>
        <w:t>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Appendix C — If the Live Demo Fails</w:t>
      </w:r>
    </w:p>
    <w:p>
      <w:pPr>
        <w:pStyle w:val="ListParagraph"/>
        <w:numPr>
          <w:ilvl w:val="0"/>
          <w:numId w:val="1"/>
        </w:numPr>
        <w:spacing w:after="60"/>
      </w:pPr>
      <w:r>
        <w:t>Fall back to Slides 3–4 (7 Pillars grid + Amateur vs. Pro contrast table) and narrate the pillar content from this script without the live interaction.</w:t>
      </w:r>
    </w:p>
    <w:p>
      <w:pPr>
        <w:pStyle w:val="ListParagraph"/>
        <w:numPr>
          <w:ilvl w:val="0"/>
          <w:numId w:val="1"/>
        </w:numPr>
        <w:spacing w:after="60"/>
      </w:pPr>
      <w:r>
        <w:t>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