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0E8C79"/>
          <w:spacing w:val="20"/>
          <w:sz w:val="26"/>
          <w:szCs w:val="26"/>
        </w:rPr>
        <w:t>{{calc.brand_upper}}</w:t>
      </w:r>
    </w:p>
    <w:p>
      <w:pPr>
        <w:spacing w:after="80"/>
      </w:pPr>
      <w:r>
        <w:rPr>
          <w:rFonts w:ascii="Cambria" w:cs="Cambria" w:eastAsia="Cambria" w:hAnsi="Cambria"/>
          <w:b/>
          <w:bCs/>
          <w:color w:val="0B1220"/>
          <w:sz w:val="52"/>
          <w:szCs w:val="52"/>
        </w:rPr>
        <w:t>60-Minute Demo — Run of Show</w:t>
      </w:r>
    </w:p>
    <w:p>
      <w:pPr>
        <w:spacing w:after="400"/>
      </w:pPr>
      <w:r>
        <w:rPr>
          <w:i/>
          <w:iCs/>
          <w:color w:val="5A6C8F"/>
          <w:sz w:val="22"/>
          <w:szCs w:val="22"/>
        </w:rPr>
        <w:t>AI-Assisted Strategic Portfolio Management  ·  Mixed Executive &amp; Operator Audience  ·  Simulated Walkthrough</w:t>
      </w:r>
    </w:p>
    <w:p>
      <w:pPr>
        <w:pStyle w:val="Heading2"/>
        <w:spacing w:after="120" w:before="260"/>
      </w:pPr>
      <w:r>
        <w:rPr>
          <w:b/>
          <w:bCs/>
          <w:color w:val="0B1220"/>
        </w:rPr>
        <w:t>1. Overview</w:t>
      </w:r>
    </w:p>
    <w:p>
      <w:pPr>
        <w:spacing w:after="120"/>
      </w:pPr>
      <w:r>
        <w:t>This is the presenter's script for a 60-minute, five-act demonstration of an AI-enabled EPMO. It follows the narrative arc of the 5 Acts of SPM Transformation and demonstrates the 7 Pillars of AI-Enabled SPM through a simulated (non-production) interactive prototype.</w:t>
      </w:r>
    </w:p>
    <w:p>
      <w:pPr>
        <w:spacing w:after="120"/>
      </w:pPr>
      <w:r>
        <w:t>Objective: move a mixed exec + operator audience from shared anxiety (“can we trust this data?”) through a hands-on look at statistical rigor, to a value story leadership can act on.</w:t>
      </w:r>
    </w:p>
    <w:p>
      <w:pPr>
        <w:spacing w:after="160"/>
      </w:pPr>
      <w:r>
        <w:rPr>
          <w:b/>
          <w:bCs/>
        </w:rPr>
        <w:t xml:space="preserve">A note on the name: </w:t>
      </w:r>
      <w:r>
        <w:rPr>
          <w:i/>
          <w:iCs/>
          <w:color w:val="5A6C8F"/>
        </w:rPr>
        <w:t>“stochastic” is a real statistics term — it means governed by probability rather than fixed rules, the opposite of a guess. It won't be familiar to everyone in a mixed exec + operator room, so it's defined in plain language on the opening slide and again verbally in the Opening Line below, before the Framework Precursor begins. Don't assume the audience already knows it.</w:t>
      </w:r>
    </w:p>
    <w:p>
      <w:pPr>
        <w:pStyle w:val="Heading3"/>
        <w:spacing w:after="80" w:before="180"/>
      </w:pPr>
      <w:r>
        <w:rPr>
          <w:b/>
          <w:bCs/>
        </w:rPr>
        <w:t>Assets Needed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0B1220" w:val="clear"/>
            <w:tcMar>
              <w:top w:type="dxa" w:w="80"/>
              <w:left w:type="dxa" w:w="120"/>
              <w:bottom w:type="dxa" w:w="80"/>
              <w:right w:type="dxa" w:w="120"/>
            </w:tcMar>
          </w:tcPr>
          <w:p>
            <w:r>
              <w:rPr>
                <w:b/>
                <w:bCs/>
                <w:color w:val="FFFFFF"/>
                <w:sz w:val="20"/>
                <w:szCs w:val="20"/>
              </w:rPr>
              <w:t>Asset</w:t>
            </w:r>
          </w:p>
        </w:tc>
        <w:tc>
          <w:tcPr>
            <w:tcW w:type="dxa" w:w="3600"/>
            <w:shd w:fill="0B1220" w:val="clear"/>
            <w:tcMar>
              <w:top w:type="dxa" w:w="80"/>
              <w:left w:type="dxa" w:w="120"/>
              <w:bottom w:type="dxa" w:w="80"/>
              <w:right w:type="dxa" w:w="120"/>
            </w:tcMar>
          </w:tcPr>
          <w:p>
            <w:r>
              <w:rPr>
                <w:b/>
                <w:bCs/>
                <w:color w:val="FFFFFF"/>
                <w:sz w:val="20"/>
                <w:szCs w:val="20"/>
              </w:rPr>
              <w:t>File</w:t>
            </w:r>
          </w:p>
        </w:tc>
        <w:tc>
          <w:tcPr>
            <w:tcW w:type="dxa" w:w="3700"/>
            <w:shd w:fill="0B1220" w:val="clear"/>
            <w:tcMar>
              <w:top w:type="dxa" w:w="80"/>
              <w:left w:type="dxa" w:w="120"/>
              <w:bottom w:type="dxa" w:w="80"/>
              <w:right w:type="dxa" w:w="120"/>
            </w:tcMar>
          </w:tcPr>
          <w:p>
            <w:r>
              <w:rPr>
                <w:b/>
                <w:bCs/>
                <w:color w:val="FFFFFF"/>
                <w:sz w:val="20"/>
                <w:szCs w:val="20"/>
              </w:rPr>
              <w:t>Purpose</w:t>
            </w:r>
          </w:p>
        </w:tc>
      </w:tr>
      <w:tr>
        <w:tc>
          <w:tcPr>
            <w:tcW w:type="dxa" w:w="2200"/>
            <w:shd w:fill="FFFFFF" w:val="clear"/>
            <w:tcMar>
              <w:top w:type="dxa" w:w="80"/>
              <w:left w:type="dxa" w:w="120"/>
              <w:bottom w:type="dxa" w:w="80"/>
              <w:right w:type="dxa" w:w="120"/>
            </w:tcMar>
          </w:tcPr>
          <w:p>
            <w:r>
              <w:rPr>
                <w:b w:val="false"/>
                <w:bCs w:val="false"/>
                <w:color w:val="3A3A3A"/>
                <w:sz w:val="20"/>
                <w:szCs w:val="20"/>
              </w:rPr>
              <w:t>Slide deck</w:t>
            </w:r>
          </w:p>
        </w:tc>
        <w:tc>
          <w:tcPr>
            <w:tcW w:type="dxa" w:w="3600"/>
            <w:shd w:fill="FFFFFF" w:val="clear"/>
            <w:tcMar>
              <w:top w:type="dxa" w:w="80"/>
              <w:left w:type="dxa" w:w="120"/>
              <w:bottom w:type="dxa" w:w="80"/>
              <w:right w:type="dxa" w:w="120"/>
            </w:tcMar>
          </w:tcPr>
          <w:p>
            <w:r>
              <w:rPr>
                <w:b w:val="false"/>
                <w:bCs w:val="false"/>
                <w:color w:val="3A3A3A"/>
                <w:sz w:val="20"/>
                <w:szCs w:val="20"/>
              </w:rPr>
              <w:t>Stochastic_SPM_Demo_Deck.pptx</w:t>
            </w:r>
          </w:p>
        </w:tc>
        <w:tc>
          <w:tcPr>
            <w:tcW w:type="dxa" w:w="3700"/>
            <w:shd w:fill="FFFFFF" w:val="clear"/>
            <w:tcMar>
              <w:top w:type="dxa" w:w="80"/>
              <w:left w:type="dxa" w:w="120"/>
              <w:bottom w:type="dxa" w:w="80"/>
              <w:right w:type="dxa" w:w="120"/>
            </w:tcMar>
          </w:tcPr>
          <w:p>
            <w:r>
              <w:rPr>
                <w:b w:val="false"/>
                <w:bCs w:val="false"/>
                <w:color w:val="3A3A3A"/>
                <w:sz w:val="20"/>
                <w:szCs w:val="20"/>
              </w:rPr>
              <w:t>7 Pillars framework precursor + narrative bookends for Acts I, II, IV, V</w:t>
            </w:r>
          </w:p>
        </w:tc>
      </w:tr>
      <w:tr>
        <w:tc>
          <w:tcPr>
            <w:tcW w:type="dxa" w:w="2200"/>
            <w:shd w:fill="F4F6FA" w:val="clear"/>
            <w:tcMar>
              <w:top w:type="dxa" w:w="80"/>
              <w:left w:type="dxa" w:w="120"/>
              <w:bottom w:type="dxa" w:w="80"/>
              <w:right w:type="dxa" w:w="120"/>
            </w:tcMar>
          </w:tcPr>
          <w:p>
            <w:r>
              <w:rPr>
                <w:b w:val="false"/>
                <w:bCs w:val="false"/>
                <w:color w:val="3A3A3A"/>
                <w:sz w:val="20"/>
                <w:szCs w:val="20"/>
              </w:rPr>
              <w:t>Interactive prototype</w:t>
            </w:r>
          </w:p>
        </w:tc>
        <w:tc>
          <w:tcPr>
            <w:tcW w:type="dxa" w:w="3600"/>
            <w:shd w:fill="F4F6FA" w:val="clear"/>
            <w:tcMar>
              <w:top w:type="dxa" w:w="80"/>
              <w:left w:type="dxa" w:w="120"/>
              <w:bottom w:type="dxa" w:w="80"/>
              <w:right w:type="dxa" w:w="120"/>
            </w:tcMar>
          </w:tcPr>
          <w:p>
            <w:r>
              <w:rPr>
                <w:b w:val="false"/>
                <w:bCs w:val="false"/>
                <w:color w:val="3A3A3A"/>
                <w:sz w:val="20"/>
                <w:szCs w:val="20"/>
              </w:rPr>
              <w:t>demo.html</w:t>
            </w:r>
          </w:p>
        </w:tc>
        <w:tc>
          <w:tcPr>
            <w:tcW w:type="dxa" w:w="3700"/>
            <w:shd w:fill="F4F6FA" w:val="clear"/>
            <w:tcMar>
              <w:top w:type="dxa" w:w="80"/>
              <w:left w:type="dxa" w:w="120"/>
              <w:bottom w:type="dxa" w:w="80"/>
              <w:right w:type="dxa" w:w="120"/>
            </w:tcMar>
          </w:tcPr>
          <w:p>
            <w:r>
              <w:rPr>
                <w:b w:val="false"/>
                <w:bCs w:val="false"/>
                <w:color w:val="3A3A3A"/>
                <w:sz w:val="20"/>
                <w:szCs w:val="20"/>
              </w:rPr>
              <w:t>Live, click-through simulation for Act III (open in a browser)</w:t>
            </w:r>
          </w:p>
        </w:tc>
      </w:tr>
      <w:tr>
        <w:tc>
          <w:tcPr>
            <w:tcW w:type="dxa" w:w="2200"/>
            <w:shd w:fill="FFFFFF" w:val="clear"/>
            <w:tcMar>
              <w:top w:type="dxa" w:w="80"/>
              <w:left w:type="dxa" w:w="120"/>
              <w:bottom w:type="dxa" w:w="80"/>
              <w:right w:type="dxa" w:w="120"/>
            </w:tcMar>
          </w:tcPr>
          <w:p>
            <w:r>
              <w:rPr>
                <w:b w:val="false"/>
                <w:bCs w:val="false"/>
                <w:color w:val="3A3A3A"/>
                <w:sz w:val="20"/>
                <w:szCs w:val="20"/>
              </w:rPr>
              <w:t>This document</w:t>
            </w:r>
          </w:p>
        </w:tc>
        <w:tc>
          <w:tcPr>
            <w:tcW w:type="dxa" w:w="3600"/>
            <w:shd w:fill="FFFFFF" w:val="clear"/>
            <w:tcMar>
              <w:top w:type="dxa" w:w="80"/>
              <w:left w:type="dxa" w:w="120"/>
              <w:bottom w:type="dxa" w:w="80"/>
              <w:right w:type="dxa" w:w="120"/>
            </w:tcMar>
          </w:tcPr>
          <w:p>
            <w:r>
              <w:rPr>
                <w:b w:val="false"/>
                <w:bCs w:val="false"/>
                <w:color w:val="3A3A3A"/>
                <w:sz w:val="20"/>
                <w:szCs w:val="20"/>
              </w:rPr>
              <w:t>Stochastic_SPM_Run_of_Show.docx</w:t>
            </w:r>
          </w:p>
        </w:tc>
        <w:tc>
          <w:tcPr>
            <w:tcW w:type="dxa" w:w="3700"/>
            <w:shd w:fill="FFFFFF" w:val="clear"/>
            <w:tcMar>
              <w:top w:type="dxa" w:w="80"/>
              <w:left w:type="dxa" w:w="120"/>
              <w:bottom w:type="dxa" w:w="80"/>
              <w:right w:type="dxa" w:w="120"/>
            </w:tcMar>
          </w:tcPr>
          <w:p>
            <w:r>
              <w:rPr>
                <w:b w:val="false"/>
                <w:bCs w:val="false"/>
                <w:color w:val="3A3A3A"/>
                <w:sz w:val="20"/>
                <w:szCs w:val="20"/>
              </w:rPr>
              <w:t>Presenter script, timing, and talk track</w:t>
            </w:r>
          </w:p>
        </w:tc>
      </w:tr>
    </w:tbl>
    <w:p>
      <w:pPr>
        <w:spacing w:after="200"/>
      </w:pPr>
    </w:p>
    <w:p>
      <w:pPr>
        <w:pStyle w:val="Heading3"/>
        <w:spacing w:after="80" w:before="180"/>
      </w:pPr>
      <w:r>
        <w:rPr>
          <w:b/>
          <w:bCs/>
        </w:rPr>
        <w:t>Room / Tech Setup</w:t>
      </w:r>
    </w:p>
    <w:p>
      <w:pPr>
        <w:pStyle w:val="ListParagraph"/>
        <w:numPr>
          <w:ilvl w:val="0"/>
          <w:numId w:val="1"/>
        </w:numPr>
        <w:spacing w:after="60"/>
      </w:pPr>
      <w:r>
        <w:t>Open both files before the audience arrives; keep the HTML demo in a second browser tab or window for instant switching.</w:t>
      </w:r>
    </w:p>
    <w:p>
      <w:pPr>
        <w:pStyle w:val="ListParagraph"/>
        <w:numPr>
          <w:ilvl w:val="0"/>
          <w:numId w:val="1"/>
        </w:numPr>
        <w:spacing w:after="60"/>
      </w:pPr>
      <w:r>
        <w:t>Confirm the interactive demo renders at full width — present at 100% browser zoom on a screen at least 1280px wide.</w:t>
      </w:r>
    </w:p>
    <w:p>
      <w:pPr>
        <w:pStyle w:val="ListParagraph"/>
        <w:numPr>
          <w:ilvl w:val="0"/>
          <w:numId w:val="1"/>
        </w:numPr>
        <w:spacing w:after="60"/>
      </w:pPr>
      <w:r>
        <w:t>Have Slide 3 (7 Pillars grid) and Slide 4 (Amateur vs. Pro contrast) ready as a fallback if the live demo needs a reset mid-Act III.</w:t>
      </w:r>
    </w:p>
    <w:p>
      <w:pPr>
        <w:pStyle w:val="ListParagraph"/>
        <w:numPr>
          <w:ilvl w:val="0"/>
          <w:numId w:val="1"/>
        </w:numPr>
        <w:spacing w:after="60"/>
      </w:pPr>
      <w:r>
        <w:t>Assign a timekeeper or keep this document open on a second monitor — Act III is where time slips.</w:t>
      </w:r>
    </w:p>
    <w:p>
      <w:r/>
    </w:p>
    <w:p>
      <w:pPr>
        <w:pStyle w:val="Heading2"/>
        <w:spacing w:after="120" w:before="260"/>
      </w:pPr>
      <w:r>
        <w:rPr>
          <w:b/>
          <w:bCs/>
          <w:color w:val="0B1220"/>
        </w:rPr>
        <w:t>2. Timing at a Glance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700"/>
            <w:shd w:fill="0B1220" w:val="clear"/>
            <w:tcMar>
              <w:top w:type="dxa" w:w="80"/>
              <w:left w:type="dxa" w:w="120"/>
              <w:bottom w:type="dxa" w:w="80"/>
              <w:right w:type="dxa" w:w="120"/>
            </w:tcMar>
          </w:tcPr>
          <w:p>
            <w:r>
              <w:rPr>
                <w:b/>
                <w:bCs/>
                <w:color w:val="FFFFFF"/>
                <w:sz w:val="20"/>
                <w:szCs w:val="20"/>
              </w:rPr>
              <w:t>Act</w:t>
            </w:r>
          </w:p>
        </w:tc>
        <w:tc>
          <w:tcPr>
            <w:tcW w:type="dxa" w:w="3400"/>
            <w:shd w:fill="0B1220" w:val="clear"/>
            <w:tcMar>
              <w:top w:type="dxa" w:w="80"/>
              <w:left w:type="dxa" w:w="120"/>
              <w:bottom w:type="dxa" w:w="80"/>
              <w:right w:type="dxa" w:w="120"/>
            </w:tcMar>
          </w:tcPr>
          <w:p>
            <w:r>
              <w:rPr>
                <w:b/>
                <w:bCs/>
                <w:color w:val="FFFFFF"/>
                <w:sz w:val="20"/>
                <w:szCs w:val="20"/>
              </w:rPr>
              <w:t>Segment</w:t>
            </w:r>
          </w:p>
        </w:tc>
        <w:tc>
          <w:tcPr>
            <w:tcW w:type="dxa" w:w="1500"/>
            <w:shd w:fill="0B1220" w:val="clear"/>
            <w:tcMar>
              <w:top w:type="dxa" w:w="80"/>
              <w:left w:type="dxa" w:w="120"/>
              <w:bottom w:type="dxa" w:w="80"/>
              <w:right w:type="dxa" w:w="120"/>
            </w:tcMar>
          </w:tcPr>
          <w:p>
            <w:r>
              <w:rPr>
                <w:b/>
                <w:bCs/>
                <w:color w:val="FFFFFF"/>
                <w:sz w:val="20"/>
                <w:szCs w:val="20"/>
              </w:rPr>
              <w:t>Time</w:t>
            </w:r>
          </w:p>
        </w:tc>
        <w:tc>
          <w:tcPr>
            <w:tcW w:type="dxa" w:w="700"/>
            <w:shd w:fill="0B1220" w:val="clear"/>
            <w:tcMar>
              <w:top w:type="dxa" w:w="80"/>
              <w:left w:type="dxa" w:w="120"/>
              <w:bottom w:type="dxa" w:w="80"/>
              <w:right w:type="dxa" w:w="120"/>
            </w:tcMar>
          </w:tcPr>
          <w:p>
            <w:r>
              <w:rPr>
                <w:b/>
                <w:bCs/>
                <w:color w:val="FFFFFF"/>
                <w:sz w:val="20"/>
                <w:szCs w:val="20"/>
              </w:rPr>
              <w:t>Min</w:t>
            </w:r>
          </w:p>
        </w:tc>
        <w:tc>
          <w:tcPr>
            <w:tcW w:type="dxa" w:w="3200"/>
            <w:shd w:fill="0B1220" w:val="clear"/>
            <w:tcMar>
              <w:top w:type="dxa" w:w="80"/>
              <w:left w:type="dxa" w:w="120"/>
              <w:bottom w:type="dxa" w:w="80"/>
              <w:right w:type="dxa" w:w="120"/>
            </w:tcMar>
          </w:tcPr>
          <w:p>
            <w:r>
              <w:rPr>
                <w:b/>
                <w:bCs/>
                <w:color w:val="FFFFFF"/>
                <w:sz w:val="20"/>
                <w:szCs w:val="20"/>
              </w:rPr>
              <w:t>Primary Asset</w:t>
            </w:r>
          </w:p>
        </w:tc>
      </w:tr>
      <w:tr>
        <w:tc>
          <w:tcPr>
            <w:tcW w:type="dxa" w:w="700"/>
            <w:shd w:fill="FFFFFF" w:val="clear"/>
            <w:tcMar>
              <w:top w:type="dxa" w:w="80"/>
              <w:left w:type="dxa" w:w="120"/>
              <w:bottom w:type="dxa" w:w="80"/>
              <w:right w:type="dxa" w:w="120"/>
            </w:tcMar>
          </w:tcPr>
          <w:p>
            <w:r>
              <w:rPr>
                <w:b w:val="false"/>
                <w:bCs w:val="false"/>
                <w:color w:val="3A3A3A"/>
                <w:sz w:val="20"/>
                <w:szCs w:val="20"/>
              </w:rPr>
              <w:t>Open</w:t>
            </w:r>
          </w:p>
        </w:tc>
        <w:tc>
          <w:tcPr>
            <w:tcW w:type="dxa" w:w="3400"/>
            <w:shd w:fill="FFFFFF" w:val="clear"/>
            <w:tcMar>
              <w:top w:type="dxa" w:w="80"/>
              <w:left w:type="dxa" w:w="120"/>
              <w:bottom w:type="dxa" w:w="80"/>
              <w:right w:type="dxa" w:w="120"/>
            </w:tcMar>
          </w:tcPr>
          <w:p>
            <w:r>
              <w:rPr>
                <w:b w:val="false"/>
                <w:bCs w:val="false"/>
                <w:color w:val="3A3A3A"/>
                <w:sz w:val="20"/>
                <w:szCs w:val="20"/>
              </w:rPr>
              <w:t>Welcome &amp; Title</w:t>
            </w:r>
          </w:p>
        </w:tc>
        <w:tc>
          <w:tcPr>
            <w:tcW w:type="dxa" w:w="1500"/>
            <w:shd w:fill="FFFFFF" w:val="clear"/>
            <w:tcMar>
              <w:top w:type="dxa" w:w="80"/>
              <w:left w:type="dxa" w:w="120"/>
              <w:bottom w:type="dxa" w:w="80"/>
              <w:right w:type="dxa" w:w="120"/>
            </w:tcMar>
          </w:tcPr>
          <w:p>
            <w:r>
              <w:rPr>
                <w:b w:val="false"/>
                <w:bCs w:val="false"/>
                <w:color w:val="3A3A3A"/>
                <w:sz w:val="20"/>
                <w:szCs w:val="20"/>
              </w:rPr>
              <w:t>0:00–0:01</w:t>
            </w:r>
          </w:p>
        </w:tc>
        <w:tc>
          <w:tcPr>
            <w:tcW w:type="dxa" w:w="700"/>
            <w:shd w:fill="FFFFFF" w:val="clear"/>
            <w:tcMar>
              <w:top w:type="dxa" w:w="80"/>
              <w:left w:type="dxa" w:w="120"/>
              <w:bottom w:type="dxa" w:w="80"/>
              <w:right w:type="dxa" w:w="120"/>
            </w:tcMar>
          </w:tcPr>
          <w:p>
            <w:r>
              <w:rPr>
                <w:b w:val="false"/>
                <w:bCs w:val="false"/>
                <w:color w:val="3A3A3A"/>
                <w:sz w:val="20"/>
                <w:szCs w:val="20"/>
              </w:rPr>
              <w:t>1</w:t>
            </w:r>
          </w:p>
        </w:tc>
        <w:tc>
          <w:tcPr>
            <w:tcW w:type="dxa" w:w="3200"/>
            <w:shd w:fill="FFFFFF" w:val="clear"/>
            <w:tcMar>
              <w:top w:type="dxa" w:w="80"/>
              <w:left w:type="dxa" w:w="120"/>
              <w:bottom w:type="dxa" w:w="80"/>
              <w:right w:type="dxa" w:w="120"/>
            </w:tcMar>
          </w:tcPr>
          <w:p>
            <w:r>
              <w:rPr>
                <w:b w:val="false"/>
                <w:bCs w:val="false"/>
                <w:color w:val="3A3A3A"/>
                <w:sz w:val="20"/>
                <w:szCs w:val="20"/>
              </w:rPr>
              <w:t>Slide 1</w:t>
            </w:r>
          </w:p>
        </w:tc>
      </w:tr>
      <w:tr>
        <w:tc>
          <w:tcPr>
            <w:tcW w:type="dxa" w:w="700"/>
            <w:shd w:fill="F4F6FA" w:val="clear"/>
            <w:tcMar>
              <w:top w:type="dxa" w:w="80"/>
              <w:left w:type="dxa" w:w="120"/>
              <w:bottom w:type="dxa" w:w="80"/>
              <w:right w:type="dxa" w:w="120"/>
            </w:tcMar>
          </w:tcPr>
          <w:p>
            <w:r>
              <w:rPr>
                <w:b w:val="false"/>
                <w:bCs w:val="false"/>
                <w:color w:val="3A3A3A"/>
                <w:sz w:val="20"/>
                <w:szCs w:val="20"/>
              </w:rPr>
              <w:t>PRE</w:t>
            </w:r>
          </w:p>
        </w:tc>
        <w:tc>
          <w:tcPr>
            <w:tcW w:type="dxa" w:w="3400"/>
            <w:shd w:fill="F4F6FA" w:val="clear"/>
            <w:tcMar>
              <w:top w:type="dxa" w:w="80"/>
              <w:left w:type="dxa" w:w="120"/>
              <w:bottom w:type="dxa" w:w="80"/>
              <w:right w:type="dxa" w:w="120"/>
            </w:tcMar>
          </w:tcPr>
          <w:p>
            <w:r>
              <w:rPr>
                <w:b w:val="false"/>
                <w:bCs w:val="false"/>
                <w:color w:val="3A3A3A"/>
                <w:sz w:val="20"/>
                <w:szCs w:val="20"/>
              </w:rPr>
              <w:t>7 Pillars Framework (precursor)</w:t>
            </w:r>
          </w:p>
        </w:tc>
        <w:tc>
          <w:tcPr>
            <w:tcW w:type="dxa" w:w="1500"/>
            <w:shd w:fill="F4F6FA" w:val="clear"/>
            <w:tcMar>
              <w:top w:type="dxa" w:w="80"/>
              <w:left w:type="dxa" w:w="120"/>
              <w:bottom w:type="dxa" w:w="80"/>
              <w:right w:type="dxa" w:w="120"/>
            </w:tcMar>
          </w:tcPr>
          <w:p>
            <w:r>
              <w:rPr>
                <w:b w:val="false"/>
                <w:bCs w:val="false"/>
                <w:color w:val="3A3A3A"/>
                <w:sz w:val="20"/>
                <w:szCs w:val="20"/>
              </w:rPr>
              <w:t>0:01–0:05</w:t>
            </w:r>
          </w:p>
        </w:tc>
        <w:tc>
          <w:tcPr>
            <w:tcW w:type="dxa" w:w="700"/>
            <w:shd w:fill="F4F6FA" w:val="clear"/>
            <w:tcMar>
              <w:top w:type="dxa" w:w="80"/>
              <w:left w:type="dxa" w:w="120"/>
              <w:bottom w:type="dxa" w:w="80"/>
              <w:right w:type="dxa" w:w="120"/>
            </w:tcMar>
          </w:tcPr>
          <w:p>
            <w:r>
              <w:rPr>
                <w:b w:val="false"/>
                <w:bCs w:val="false"/>
                <w:color w:val="3A3A3A"/>
                <w:sz w:val="20"/>
                <w:szCs w:val="20"/>
              </w:rPr>
              <w:t>4</w:t>
            </w:r>
          </w:p>
        </w:tc>
        <w:tc>
          <w:tcPr>
            <w:tcW w:type="dxa" w:w="3200"/>
            <w:shd w:fill="F4F6FA" w:val="clear"/>
            <w:tcMar>
              <w:top w:type="dxa" w:w="80"/>
              <w:left w:type="dxa" w:w="120"/>
              <w:bottom w:type="dxa" w:w="80"/>
              <w:right w:type="dxa" w:w="120"/>
            </w:tcMar>
          </w:tcPr>
          <w:p>
            <w:r>
              <w:rPr>
                <w:b w:val="false"/>
                <w:bCs w:val="false"/>
                <w:color w:val="3A3A3A"/>
                <w:sz w:val="20"/>
                <w:szCs w:val="20"/>
              </w:rPr>
              <w:t>Slides 3–4</w:t>
            </w:r>
          </w:p>
        </w:tc>
      </w:tr>
      <w:tr>
        <w:tc>
          <w:tcPr>
            <w:tcW w:type="dxa" w:w="700"/>
            <w:shd w:fill="FFFFFF" w:val="clear"/>
            <w:tcMar>
              <w:top w:type="dxa" w:w="80"/>
              <w:left w:type="dxa" w:w="120"/>
              <w:bottom w:type="dxa" w:w="80"/>
              <w:right w:type="dxa" w:w="120"/>
            </w:tcMar>
          </w:tcPr>
          <w:p>
            <w:r>
              <w:rPr>
                <w:b w:val="false"/>
                <w:bCs w:val="false"/>
                <w:color w:val="3A3A3A"/>
                <w:sz w:val="20"/>
                <w:szCs w:val="20"/>
              </w:rPr>
              <w:t>I</w:t>
            </w:r>
          </w:p>
        </w:tc>
        <w:tc>
          <w:tcPr>
            <w:tcW w:type="dxa" w:w="3400"/>
            <w:shd w:fill="FFFFFF" w:val="clear"/>
            <w:tcMar>
              <w:top w:type="dxa" w:w="80"/>
              <w:left w:type="dxa" w:w="120"/>
              <w:bottom w:type="dxa" w:w="80"/>
              <w:right w:type="dxa" w:w="120"/>
            </w:tcMar>
          </w:tcPr>
          <w:p>
            <w:r>
              <w:rPr>
                <w:b w:val="false"/>
                <w:bCs w:val="false"/>
                <w:color w:val="3A3A3A"/>
                <w:sz w:val="20"/>
                <w:szCs w:val="20"/>
              </w:rPr>
              <w:t>The Leader's Anxiety</w:t>
            </w:r>
          </w:p>
        </w:tc>
        <w:tc>
          <w:tcPr>
            <w:tcW w:type="dxa" w:w="1500"/>
            <w:shd w:fill="FFFFFF" w:val="clear"/>
            <w:tcMar>
              <w:top w:type="dxa" w:w="80"/>
              <w:left w:type="dxa" w:w="120"/>
              <w:bottom w:type="dxa" w:w="80"/>
              <w:right w:type="dxa" w:w="120"/>
            </w:tcMar>
          </w:tcPr>
          <w:p>
            <w:r>
              <w:rPr>
                <w:b w:val="false"/>
                <w:bCs w:val="false"/>
                <w:color w:val="3A3A3A"/>
                <w:sz w:val="20"/>
                <w:szCs w:val="20"/>
              </w:rPr>
              <w:t>{{acts.0.time}}</w:t>
            </w:r>
          </w:p>
        </w:tc>
        <w:tc>
          <w:tcPr>
            <w:tcW w:type="dxa" w:w="700"/>
            <w:shd w:fill="FFFFFF" w:val="clear"/>
            <w:tcMar>
              <w:top w:type="dxa" w:w="80"/>
              <w:left w:type="dxa" w:w="120"/>
              <w:bottom w:type="dxa" w:w="80"/>
              <w:right w:type="dxa" w:w="120"/>
            </w:tcMar>
          </w:tcPr>
          <w:p>
            <w:r>
              <w:rPr>
                <w:b w:val="false"/>
                <w:bCs w:val="false"/>
                <w:color w:val="3A3A3A"/>
                <w:sz w:val="20"/>
                <w:szCs w:val="20"/>
              </w:rPr>
              <w:t>5</w:t>
            </w:r>
          </w:p>
        </w:tc>
        <w:tc>
          <w:tcPr>
            <w:tcW w:type="dxa" w:w="3200"/>
            <w:shd w:fill="FFFFFF" w:val="clear"/>
            <w:tcMar>
              <w:top w:type="dxa" w:w="80"/>
              <w:left w:type="dxa" w:w="120"/>
              <w:bottom w:type="dxa" w:w="80"/>
              <w:right w:type="dxa" w:w="120"/>
            </w:tcMar>
          </w:tcPr>
          <w:p>
            <w:r>
              <w:rPr>
                <w:b w:val="false"/>
                <w:bCs w:val="false"/>
                <w:color w:val="3A3A3A"/>
                <w:sz w:val="20"/>
                <w:szCs w:val="20"/>
              </w:rPr>
              <w:t>Slides 5–6</w:t>
            </w:r>
          </w:p>
        </w:tc>
      </w:tr>
      <w:tr>
        <w:tc>
          <w:tcPr>
            <w:tcW w:type="dxa" w:w="700"/>
            <w:shd w:fill="F4F6FA" w:val="clear"/>
            <w:tcMar>
              <w:top w:type="dxa" w:w="80"/>
              <w:left w:type="dxa" w:w="120"/>
              <w:bottom w:type="dxa" w:w="80"/>
              <w:right w:type="dxa" w:w="120"/>
            </w:tcMar>
          </w:tcPr>
          <w:p>
            <w:r>
              <w:rPr>
                <w:b w:val="false"/>
                <w:bCs w:val="false"/>
                <w:color w:val="3A3A3A"/>
                <w:sz w:val="20"/>
                <w:szCs w:val="20"/>
              </w:rPr>
              <w:t>II</w:t>
            </w:r>
          </w:p>
        </w:tc>
        <w:tc>
          <w:tcPr>
            <w:tcW w:type="dxa" w:w="3400"/>
            <w:shd w:fill="F4F6FA" w:val="clear"/>
            <w:tcMar>
              <w:top w:type="dxa" w:w="80"/>
              <w:left w:type="dxa" w:w="120"/>
              <w:bottom w:type="dxa" w:w="80"/>
              <w:right w:type="dxa" w:w="120"/>
            </w:tcMar>
          </w:tcPr>
          <w:p>
            <w:r>
              <w:rPr>
                <w:b w:val="false"/>
                <w:bCs w:val="false"/>
                <w:color w:val="3A3A3A"/>
                <w:sz w:val="20"/>
                <w:szCs w:val="20"/>
              </w:rPr>
              <w:t>The Operator's Grind</w:t>
            </w:r>
          </w:p>
        </w:tc>
        <w:tc>
          <w:tcPr>
            <w:tcW w:type="dxa" w:w="1500"/>
            <w:shd w:fill="F4F6FA" w:val="clear"/>
            <w:tcMar>
              <w:top w:type="dxa" w:w="80"/>
              <w:left w:type="dxa" w:w="120"/>
              <w:bottom w:type="dxa" w:w="80"/>
              <w:right w:type="dxa" w:w="120"/>
            </w:tcMar>
          </w:tcPr>
          <w:p>
            <w:r>
              <w:rPr>
                <w:b w:val="false"/>
                <w:bCs w:val="false"/>
                <w:color w:val="3A3A3A"/>
                <w:sz w:val="20"/>
                <w:szCs w:val="20"/>
              </w:rPr>
              <w:t>{{acts.1.time}}</w:t>
            </w:r>
          </w:p>
        </w:tc>
        <w:tc>
          <w:tcPr>
            <w:tcW w:type="dxa" w:w="700"/>
            <w:shd w:fill="F4F6FA" w:val="clear"/>
            <w:tcMar>
              <w:top w:type="dxa" w:w="80"/>
              <w:left w:type="dxa" w:w="120"/>
              <w:bottom w:type="dxa" w:w="80"/>
              <w:right w:type="dxa" w:w="120"/>
            </w:tcMar>
          </w:tcPr>
          <w:p>
            <w:r>
              <w:rPr>
                <w:b w:val="false"/>
                <w:bCs w:val="false"/>
                <w:color w:val="3A3A3A"/>
                <w:sz w:val="20"/>
                <w:szCs w:val="20"/>
              </w:rPr>
              <w:t>6</w:t>
            </w:r>
          </w:p>
        </w:tc>
        <w:tc>
          <w:tcPr>
            <w:tcW w:type="dxa" w:w="3200"/>
            <w:shd w:fill="F4F6FA" w:val="clear"/>
            <w:tcMar>
              <w:top w:type="dxa" w:w="80"/>
              <w:left w:type="dxa" w:w="120"/>
              <w:bottom w:type="dxa" w:w="80"/>
              <w:right w:type="dxa" w:w="120"/>
            </w:tcMar>
          </w:tcPr>
          <w:p>
            <w:r>
              <w:rPr>
                <w:b w:val="false"/>
                <w:bCs w:val="false"/>
                <w:color w:val="3A3A3A"/>
                <w:sz w:val="20"/>
                <w:szCs w:val="20"/>
              </w:rPr>
              <w:t>Slides 7–8</w:t>
            </w:r>
          </w:p>
        </w:tc>
      </w:tr>
      <w:tr>
        <w:tc>
          <w:tcPr>
            <w:tcW w:type="dxa" w:w="700"/>
            <w:shd w:fill="FFFFFF" w:val="clear"/>
            <w:tcMar>
              <w:top w:type="dxa" w:w="80"/>
              <w:left w:type="dxa" w:w="120"/>
              <w:bottom w:type="dxa" w:w="80"/>
              <w:right w:type="dxa" w:w="120"/>
            </w:tcMar>
          </w:tcPr>
          <w:p>
            <w:r>
              <w:rPr>
                <w:b w:val="false"/>
                <w:bCs w:val="false"/>
                <w:color w:val="3A3A3A"/>
                <w:sz w:val="20"/>
                <w:szCs w:val="20"/>
              </w:rPr>
              <w:t>III</w:t>
            </w:r>
          </w:p>
        </w:tc>
        <w:tc>
          <w:tcPr>
            <w:tcW w:type="dxa" w:w="3400"/>
            <w:shd w:fill="FFFFFF" w:val="clear"/>
            <w:tcMar>
              <w:top w:type="dxa" w:w="80"/>
              <w:left w:type="dxa" w:w="120"/>
              <w:bottom w:type="dxa" w:w="80"/>
              <w:right w:type="dxa" w:w="120"/>
            </w:tcMar>
          </w:tcPr>
          <w:p>
            <w:r>
              <w:rPr>
                <w:b w:val="false"/>
                <w:bCs w:val="false"/>
                <w:color w:val="3A3A3A"/>
                <w:sz w:val="20"/>
                <w:szCs w:val="20"/>
              </w:rPr>
              <w:t>The Hero Moment (7 Pillars, live)</w:t>
            </w:r>
          </w:p>
        </w:tc>
        <w:tc>
          <w:tcPr>
            <w:tcW w:type="dxa" w:w="1500"/>
            <w:shd w:fill="FFFFFF" w:val="clear"/>
            <w:tcMar>
              <w:top w:type="dxa" w:w="80"/>
              <w:left w:type="dxa" w:w="120"/>
              <w:bottom w:type="dxa" w:w="80"/>
              <w:right w:type="dxa" w:w="120"/>
            </w:tcMar>
          </w:tcPr>
          <w:p>
            <w:r>
              <w:rPr>
                <w:b w:val="false"/>
                <w:bCs w:val="false"/>
                <w:color w:val="3A3A3A"/>
                <w:sz w:val="20"/>
                <w:szCs w:val="20"/>
              </w:rPr>
              <w:t>{{acts.2.time}}</w:t>
            </w:r>
          </w:p>
        </w:tc>
        <w:tc>
          <w:tcPr>
            <w:tcW w:type="dxa" w:w="700"/>
            <w:shd w:fill="FFFFFF" w:val="clear"/>
            <w:tcMar>
              <w:top w:type="dxa" w:w="80"/>
              <w:left w:type="dxa" w:w="120"/>
              <w:bottom w:type="dxa" w:w="80"/>
              <w:right w:type="dxa" w:w="120"/>
            </w:tcMar>
          </w:tcPr>
          <w:p>
            <w:r>
              <w:rPr>
                <w:b w:val="false"/>
                <w:bCs w:val="false"/>
                <w:color w:val="3A3A3A"/>
                <w:sz w:val="20"/>
                <w:szCs w:val="20"/>
              </w:rPr>
              <w:t>28</w:t>
            </w:r>
          </w:p>
        </w:tc>
        <w:tc>
          <w:tcPr>
            <w:tcW w:type="dxa" w:w="3200"/>
            <w:shd w:fill="FFFFFF" w:val="clear"/>
            <w:tcMar>
              <w:top w:type="dxa" w:w="80"/>
              <w:left w:type="dxa" w:w="120"/>
              <w:bottom w:type="dxa" w:w="80"/>
              <w:right w:type="dxa" w:w="120"/>
            </w:tcMar>
          </w:tcPr>
          <w:p>
            <w:r>
              <w:rPr>
                <w:b w:val="false"/>
                <w:bCs w:val="false"/>
                <w:color w:val="3A3A3A"/>
                <w:sz w:val="20"/>
                <w:szCs w:val="20"/>
              </w:rPr>
              <w:t>Interactive demo · Slide 9</w:t>
            </w:r>
          </w:p>
        </w:tc>
      </w:tr>
      <w:tr>
        <w:tc>
          <w:tcPr>
            <w:tcW w:type="dxa" w:w="700"/>
            <w:shd w:fill="F4F6FA" w:val="clear"/>
            <w:tcMar>
              <w:top w:type="dxa" w:w="80"/>
              <w:left w:type="dxa" w:w="120"/>
              <w:bottom w:type="dxa" w:w="80"/>
              <w:right w:type="dxa" w:w="120"/>
            </w:tcMar>
          </w:tcPr>
          <w:p>
            <w:r>
              <w:rPr>
                <w:b w:val="false"/>
                <w:bCs w:val="false"/>
                <w:color w:val="3A3A3A"/>
                <w:sz w:val="20"/>
                <w:szCs w:val="20"/>
              </w:rPr>
              <w:t>IV</w:t>
            </w:r>
          </w:p>
        </w:tc>
        <w:tc>
          <w:tcPr>
            <w:tcW w:type="dxa" w:w="3400"/>
            <w:shd w:fill="F4F6FA" w:val="clear"/>
            <w:tcMar>
              <w:top w:type="dxa" w:w="80"/>
              <w:left w:type="dxa" w:w="120"/>
              <w:bottom w:type="dxa" w:w="80"/>
              <w:right w:type="dxa" w:w="120"/>
            </w:tcMar>
          </w:tcPr>
          <w:p>
            <w:r>
              <w:rPr>
                <w:b w:val="false"/>
                <w:bCs w:val="false"/>
                <w:color w:val="3A3A3A"/>
                <w:sz w:val="20"/>
                <w:szCs w:val="20"/>
              </w:rPr>
              <w:t>The Value Hypothesis</w:t>
            </w:r>
          </w:p>
        </w:tc>
        <w:tc>
          <w:tcPr>
            <w:tcW w:type="dxa" w:w="1500"/>
            <w:shd w:fill="F4F6FA" w:val="clear"/>
            <w:tcMar>
              <w:top w:type="dxa" w:w="80"/>
              <w:left w:type="dxa" w:w="120"/>
              <w:bottom w:type="dxa" w:w="80"/>
              <w:right w:type="dxa" w:w="120"/>
            </w:tcMar>
          </w:tcPr>
          <w:p>
            <w:r>
              <w:rPr>
                <w:b w:val="false"/>
                <w:bCs w:val="false"/>
                <w:color w:val="3A3A3A"/>
                <w:sz w:val="20"/>
                <w:szCs w:val="20"/>
              </w:rPr>
              <w:t>{{acts.3.time}}</w:t>
            </w:r>
          </w:p>
        </w:tc>
        <w:tc>
          <w:tcPr>
            <w:tcW w:type="dxa" w:w="700"/>
            <w:shd w:fill="F4F6FA" w:val="clear"/>
            <w:tcMar>
              <w:top w:type="dxa" w:w="80"/>
              <w:left w:type="dxa" w:w="120"/>
              <w:bottom w:type="dxa" w:w="80"/>
              <w:right w:type="dxa" w:w="120"/>
            </w:tcMar>
          </w:tcPr>
          <w:p>
            <w:r>
              <w:rPr>
                <w:b w:val="false"/>
                <w:bCs w:val="false"/>
                <w:color w:val="3A3A3A"/>
                <w:sz w:val="20"/>
                <w:szCs w:val="20"/>
              </w:rPr>
              <w:t>8</w:t>
            </w:r>
          </w:p>
        </w:tc>
        <w:tc>
          <w:tcPr>
            <w:tcW w:type="dxa" w:w="3200"/>
            <w:shd w:fill="F4F6FA" w:val="clear"/>
            <w:tcMar>
              <w:top w:type="dxa" w:w="80"/>
              <w:left w:type="dxa" w:w="120"/>
              <w:bottom w:type="dxa" w:w="80"/>
              <w:right w:type="dxa" w:w="120"/>
            </w:tcMar>
          </w:tcPr>
          <w:p>
            <w:r>
              <w:rPr>
                <w:b w:val="false"/>
                <w:bCs w:val="false"/>
                <w:color w:val="3A3A3A"/>
                <w:sz w:val="20"/>
                <w:szCs w:val="20"/>
              </w:rPr>
              <w:t>Slide 10</w:t>
            </w:r>
          </w:p>
        </w:tc>
      </w:tr>
      <w:tr>
        <w:tc>
          <w:tcPr>
            <w:tcW w:type="dxa" w:w="700"/>
            <w:shd w:fill="FFFFFF" w:val="clear"/>
            <w:tcMar>
              <w:top w:type="dxa" w:w="80"/>
              <w:left w:type="dxa" w:w="120"/>
              <w:bottom w:type="dxa" w:w="80"/>
              <w:right w:type="dxa" w:w="120"/>
            </w:tcMar>
          </w:tcPr>
          <w:p>
            <w:r>
              <w:rPr>
                <w:b w:val="false"/>
                <w:bCs w:val="false"/>
                <w:color w:val="3A3A3A"/>
                <w:sz w:val="20"/>
                <w:szCs w:val="20"/>
              </w:rPr>
              <w:t>V</w:t>
            </w:r>
          </w:p>
        </w:tc>
        <w:tc>
          <w:tcPr>
            <w:tcW w:type="dxa" w:w="3400"/>
            <w:shd w:fill="FFFFFF" w:val="clear"/>
            <w:tcMar>
              <w:top w:type="dxa" w:w="80"/>
              <w:left w:type="dxa" w:w="120"/>
              <w:bottom w:type="dxa" w:w="80"/>
              <w:right w:type="dxa" w:w="120"/>
            </w:tcMar>
          </w:tcPr>
          <w:p>
            <w:r>
              <w:rPr>
                <w:b w:val="false"/>
                <w:bCs w:val="false"/>
                <w:color w:val="3A3A3A"/>
                <w:sz w:val="20"/>
                <w:szCs w:val="20"/>
              </w:rPr>
              <w:t>The Outcome Realized</w:t>
            </w:r>
          </w:p>
        </w:tc>
        <w:tc>
          <w:tcPr>
            <w:tcW w:type="dxa" w:w="1500"/>
            <w:shd w:fill="FFFFFF" w:val="clear"/>
            <w:tcMar>
              <w:top w:type="dxa" w:w="80"/>
              <w:left w:type="dxa" w:w="120"/>
              <w:bottom w:type="dxa" w:w="80"/>
              <w:right w:type="dxa" w:w="120"/>
            </w:tcMar>
          </w:tcPr>
          <w:p>
            <w:r>
              <w:rPr>
                <w:b w:val="false"/>
                <w:bCs w:val="false"/>
                <w:color w:val="3A3A3A"/>
                <w:sz w:val="20"/>
                <w:szCs w:val="20"/>
              </w:rPr>
              <w:t>{{acts.4.time}}</w:t>
            </w:r>
          </w:p>
        </w:tc>
        <w:tc>
          <w:tcPr>
            <w:tcW w:type="dxa" w:w="700"/>
            <w:shd w:fill="FFFFFF" w:val="clear"/>
            <w:tcMar>
              <w:top w:type="dxa" w:w="80"/>
              <w:left w:type="dxa" w:w="120"/>
              <w:bottom w:type="dxa" w:w="80"/>
              <w:right w:type="dxa" w:w="120"/>
            </w:tcMar>
          </w:tcPr>
          <w:p>
            <w:r>
              <w:rPr>
                <w:b w:val="false"/>
                <w:bCs w:val="false"/>
                <w:color w:val="3A3A3A"/>
                <w:sz w:val="20"/>
                <w:szCs w:val="20"/>
              </w:rPr>
              <w:t>6</w:t>
            </w:r>
          </w:p>
        </w:tc>
        <w:tc>
          <w:tcPr>
            <w:tcW w:type="dxa" w:w="3200"/>
            <w:shd w:fill="FFFFFF" w:val="clear"/>
            <w:tcMar>
              <w:top w:type="dxa" w:w="80"/>
              <w:left w:type="dxa" w:w="120"/>
              <w:bottom w:type="dxa" w:w="80"/>
              <w:right w:type="dxa" w:w="120"/>
            </w:tcMar>
          </w:tcPr>
          <w:p>
            <w:r>
              <w:rPr>
                <w:b w:val="false"/>
                <w:bCs w:val="false"/>
                <w:color w:val="3A3A3A"/>
                <w:sz w:val="20"/>
                <w:szCs w:val="20"/>
              </w:rPr>
              <w:t>Slide 11</w:t>
            </w:r>
          </w:p>
        </w:tc>
      </w:tr>
      <w:tr>
        <w:tc>
          <w:tcPr>
            <w:tcW w:type="dxa" w:w="700"/>
            <w:shd w:fill="F4F6FA" w:val="clear"/>
            <w:tcMar>
              <w:top w:type="dxa" w:w="80"/>
              <w:left w:type="dxa" w:w="120"/>
              <w:bottom w:type="dxa" w:w="80"/>
              <w:right w:type="dxa" w:w="120"/>
            </w:tcMar>
          </w:tcPr>
          <w:p>
            <w:r>
              <w:rPr>
                <w:b w:val="false"/>
                <w:bCs w:val="false"/>
                <w:color w:val="3A3A3A"/>
                <w:sz w:val="20"/>
                <w:szCs w:val="20"/>
              </w:rPr>
              <w:t>—</w:t>
            </w:r>
          </w:p>
        </w:tc>
        <w:tc>
          <w:tcPr>
            <w:tcW w:type="dxa" w:w="3400"/>
            <w:shd w:fill="F4F6FA" w:val="clear"/>
            <w:tcMar>
              <w:top w:type="dxa" w:w="80"/>
              <w:left w:type="dxa" w:w="120"/>
              <w:bottom w:type="dxa" w:w="80"/>
              <w:right w:type="dxa" w:w="120"/>
            </w:tcMar>
          </w:tcPr>
          <w:p>
            <w:r>
              <w:rPr>
                <w:b w:val="false"/>
                <w:bCs w:val="false"/>
                <w:color w:val="3A3A3A"/>
                <w:sz w:val="20"/>
                <w:szCs w:val="20"/>
              </w:rPr>
              <w:t>Close / Q&amp;A buffer</w:t>
            </w:r>
          </w:p>
        </w:tc>
        <w:tc>
          <w:tcPr>
            <w:tcW w:type="dxa" w:w="1500"/>
            <w:shd w:fill="F4F6FA" w:val="clear"/>
            <w:tcMar>
              <w:top w:type="dxa" w:w="80"/>
              <w:left w:type="dxa" w:w="120"/>
              <w:bottom w:type="dxa" w:w="80"/>
              <w:right w:type="dxa" w:w="120"/>
            </w:tcMar>
          </w:tcPr>
          <w:p>
            <w:r>
              <w:rPr>
                <w:b w:val="false"/>
                <w:bCs w:val="false"/>
                <w:color w:val="3A3A3A"/>
                <w:sz w:val="20"/>
                <w:szCs w:val="20"/>
              </w:rPr>
              <w:t>0:58–1:00</w:t>
            </w:r>
          </w:p>
        </w:tc>
        <w:tc>
          <w:tcPr>
            <w:tcW w:type="dxa" w:w="700"/>
            <w:shd w:fill="F4F6FA" w:val="clear"/>
            <w:tcMar>
              <w:top w:type="dxa" w:w="80"/>
              <w:left w:type="dxa" w:w="120"/>
              <w:bottom w:type="dxa" w:w="80"/>
              <w:right w:type="dxa" w:w="120"/>
            </w:tcMar>
          </w:tcPr>
          <w:p>
            <w:r>
              <w:rPr>
                <w:b w:val="false"/>
                <w:bCs w:val="false"/>
                <w:color w:val="3A3A3A"/>
                <w:sz w:val="20"/>
                <w:szCs w:val="20"/>
              </w:rPr>
              <w:t>2</w:t>
            </w:r>
          </w:p>
        </w:tc>
        <w:tc>
          <w:tcPr>
            <w:tcW w:type="dxa" w:w="3200"/>
            <w:shd w:fill="F4F6FA" w:val="clear"/>
            <w:tcMar>
              <w:top w:type="dxa" w:w="80"/>
              <w:left w:type="dxa" w:w="120"/>
              <w:bottom w:type="dxa" w:w="80"/>
              <w:right w:type="dxa" w:w="120"/>
            </w:tcMar>
          </w:tcPr>
          <w:p>
            <w:r>
              <w:rPr>
                <w:b w:val="false"/>
                <w:bCs w:val="false"/>
                <w:color w:val="3A3A3A"/>
                <w:sz w:val="20"/>
                <w:szCs w:val="20"/>
              </w:rPr>
              <w:t>Slide 12</w:t>
            </w:r>
          </w:p>
        </w:tc>
      </w:tr>
    </w:tbl>
    <w:p>
      <w:pPr>
        <w:spacing w:after="200"/>
      </w:pPr>
    </w:p>
    <w:p>
      <w:pPr>
        <w:pStyle w:val="Heading3"/>
        <w:spacing w:after="80" w:before="180"/>
      </w:pPr>
      <w:r>
        <w:rPr>
          <w:b/>
          <w:bCs/>
        </w:rPr>
        <w:t>Opening Line (0:00–0:01)</w:t>
      </w:r>
    </w:p>
    <w:p>
      <w:pPr>
        <w:spacing w:after="100"/>
        <w:ind w:left="360"/>
      </w:pPr>
      <w:r>
        <w:rPr>
          <w:b/>
          <w:bCs/>
          <w:color w:val="0E8C79"/>
        </w:rPr>
        <w:t xml:space="preserve">SAY: </w:t>
      </w:r>
      <w:r>
        <w:rPr>
          <w:i/>
          <w:iCs/>
        </w:rPr>
        <w:t>“Quick vocabulary note before we dive in: ‘stochastic’ just means probability-based rather than fixed — that's the whole shift we're here to talk about today.”</w:t>
      </w:r>
    </w:p>
    <w:p>
      <w:pPr>
        <w:spacing w:after="140"/>
        <w:ind w:left="360"/>
      </w:pPr>
      <w:r>
        <w:rPr>
          <w:b/>
          <w:bCs/>
          <w:color w:val="B8720C"/>
        </w:rPr>
        <w:t xml:space="preserve">DO: </w:t>
      </w:r>
      <w:r>
        <w:t>Say this over Slide 1, pointing at the definition line under the title, before advancing to the Agenda.</w:t>
      </w:r>
    </w:p>
    <w:p>
      <w:pPr>
        <w:pStyle w:val="Heading2"/>
        <w:spacing w:after="120" w:before="260"/>
      </w:pPr>
      <w:r>
        <w:rPr>
          <w:b/>
          <w:bCs/>
          <w:color w:val="5B4FC4"/>
        </w:rPr>
        <w:t>3. Framework Precursor — The 7 Pillars</w:t>
      </w:r>
    </w:p>
    <w:p>
      <w:pPr>
        <w:spacing w:after="120"/>
      </w:pPr>
      <w:r>
        <w:t>0:01–0:05  ·  Slides 3–4  ·  Objective: give the room shared vocabulary before the story starts, so every pillar reference across Acts I–V lands instantly instead of needing re-explanation during the live demo.</w:t>
      </w:r>
    </w:p>
    <w:p>
      <w:pPr>
        <w:spacing w:after="100"/>
        <w:ind w:left="360"/>
      </w:pPr>
      <w:r>
        <w:rPr>
          <w:b/>
          <w:bCs/>
          <w:color w:val="0E8C79"/>
        </w:rPr>
        <w:t xml:space="preserve">SAY: </w:t>
      </w:r>
      <w:r>
        <w:rPr>
          <w:i/>
          <w:iCs/>
        </w:rPr>
        <w:t>“Before we get into the story, I want to give you the map we'll be walking. Everything you see today maps back to one of seven pillars.”</w:t>
      </w:r>
    </w:p>
    <w:p>
      <w:pPr>
        <w:spacing w:after="140"/>
        <w:ind w:left="360"/>
      </w:pPr>
      <w:r>
        <w:rPr>
          <w:b/>
          <w:bCs/>
          <w:color w:val="B8720C"/>
        </w:rPr>
        <w:t xml:space="preserve">DO: </w:t>
      </w:r>
      <w:r>
        <w:t>Advance to Slide 3. Name each category briskly — don't explain the technique in depth yet. You'll demonstrate the technique live in Act III, so this is a preview, not the payoff.</w:t>
      </w:r>
    </w:p>
    <w:p>
      <w:pPr>
        <w:spacing w:after="100"/>
        <w:ind w:left="360"/>
      </w:pPr>
      <w:r>
        <w:rPr>
          <w:b/>
          <w:bCs/>
          <w:color w:val="0E8C79"/>
        </w:rPr>
        <w:t xml:space="preserve">SAY: </w:t>
      </w:r>
      <w:r>
        <w:rPr>
          <w:i/>
          <w:iCs/>
        </w:rPr>
        <w:t>“Portfolio allocation, capacity planning, delivery risk, process control, talent elevation, financial precision, and business outcome. Seven pillars, one system.”</w:t>
      </w:r>
    </w:p>
    <w:p>
      <w:pPr>
        <w:spacing w:after="140"/>
        <w:ind w:left="360"/>
      </w:pPr>
      <w:r>
        <w:rPr>
          <w:b/>
          <w:bCs/>
          <w:color w:val="B8720C"/>
        </w:rPr>
        <w:t xml:space="preserve">DO: </w:t>
      </w:r>
      <w:r>
        <w:t>Advance to Slide 4.</w:t>
      </w:r>
    </w:p>
    <w:p>
      <w:pPr>
        <w:spacing w:after="100"/>
        <w:ind w:left="360"/>
      </w:pPr>
      <w:r>
        <w:rPr>
          <w:b/>
          <w:bCs/>
          <w:color w:val="0E8C79"/>
        </w:rPr>
        <w:t xml:space="preserve">SAY: </w:t>
      </w:r>
      <w:r>
        <w:rPr>
          <w:i/>
          <w:iCs/>
        </w:rPr>
        <w:t>“And here's the difference in one slide: the amateur version of AI for SPM scans keywords and aggregates opinions. The professional version runs real statistics underneath it — cluster analysis, Monte Carlo simulation, statistical process control, Bayesian forecasting. That's the version you're about to see.”</w:t>
      </w:r>
    </w:p>
    <w:p>
      <w:pPr>
        <w:spacing w:after="160"/>
        <w:ind w:left="360"/>
      </w:pPr>
      <w:r>
        <w:rPr>
          <w:b/>
          <w:bCs/>
          <w:color w:val="C13A3E"/>
        </w:rPr>
        <w:t xml:space="preserve">WATCH FOR: </w:t>
      </w:r>
      <w:r>
        <w:rPr>
          <w:i/>
          <w:iCs/>
        </w:rPr>
        <w:t>This slide can read as dense for a mixed audience — keep the pace brisk and don't read every row aloud. Let the amateur-vs-pro contrast do the work visually.</w:t>
      </w:r>
    </w:p>
    <w:p>
      <w:pPr>
        <w:spacing w:after="100"/>
        <w:ind w:left="360"/>
      </w:pPr>
      <w:r>
        <w:rPr>
          <w:b/>
          <w:bCs/>
          <w:color w:val="0E8C79"/>
        </w:rPr>
        <w:t xml:space="preserve">SAY: </w:t>
      </w:r>
      <w:r>
        <w:rPr>
          <w:i/>
          <w:iCs/>
        </w:rPr>
        <w:t>“Hold onto this framework. Every time a pillar comes up for the rest of the hour, you'll already know where it fits.”</w:t>
      </w:r>
    </w:p>
    <w:p>
      <w:pPr>
        <w:pStyle w:val="Heading2"/>
        <w:spacing w:after="120" w:before="260"/>
      </w:pPr>
      <w:r>
        <w:rPr>
          <w:b/>
          <w:bCs/>
          <w:color w:val="C13A3E"/>
        </w:rPr>
        <w:t>4. Act I — The Leader's Anxiety</w:t>
      </w:r>
    </w:p>
    <w:p>
      <w:pPr>
        <w:spacing w:after="120"/>
      </w:pPr>
      <w:r>
        <w:t>{{acts.0.time}}  ·  Slides 5–6  ·  Objective: name the discomfort the room already feels before offering any solution.</w:t>
      </w:r>
    </w:p>
    <w:p>
      <w:pPr>
        <w:spacing w:after="100"/>
        <w:ind w:left="360"/>
      </w:pPr>
      <w:r>
        <w:rPr>
          <w:b/>
          <w:bCs/>
          <w:color w:val="0E8C79"/>
        </w:rPr>
        <w:t xml:space="preserve">SAY: </w:t>
      </w:r>
      <w:r>
        <w:rPr>
          <w:i/>
          <w:iCs/>
        </w:rPr>
        <w:t>“Every SPM transformation starts in the same place: a leader looking at a portfolio report and not being sure if they can trust it. Not because anyone's lying — because the report was built by hand, from five spreadsheets, by someone who updated it under deadline pressure.”</w:t>
      </w:r>
    </w:p>
    <w:p>
      <w:pPr>
        <w:spacing w:after="140"/>
        <w:ind w:left="360"/>
      </w:pPr>
      <w:r>
        <w:rPr>
          <w:b/>
          <w:bCs/>
          <w:color w:val="B8720C"/>
        </w:rPr>
        <w:t xml:space="preserve">DO: </w:t>
      </w:r>
      <w:r>
        <w:t>Advance to Slide 6. Point at the Master Tracker mock — let the room read the RAG colors and the stale note before you speak.</w:t>
      </w:r>
    </w:p>
    <w:p>
      <w:pPr>
        <w:spacing w:after="100"/>
        <w:ind w:left="360"/>
      </w:pPr>
      <w:r>
        <w:rPr>
          <w:b/>
          <w:bCs/>
          <w:color w:val="0E8C79"/>
        </w:rPr>
        <w:t xml:space="preserve">SAY: </w:t>
      </w:r>
      <w:r>
        <w:rPr>
          <w:i/>
          <w:iCs/>
        </w:rPr>
        <w:t>“Sixty-two percent of the statuses on a tracker like this are set by feel, not by a model. The 'current' report is, on average, eleven days stale by the time it reaches a steering meeting. And this week, there are three different versions of 'the numbers' floating around before this meeting even starts.”</w:t>
      </w:r>
    </w:p>
    <w:p>
      <w:pPr>
        <w:spacing w:after="160"/>
        <w:ind w:left="360"/>
      </w:pPr>
      <w:r>
        <w:rPr>
          <w:b/>
          <w:bCs/>
          <w:color w:val="C13A3E"/>
        </w:rPr>
        <w:t xml:space="preserve">WATCH FOR: </w:t>
      </w:r>
      <w:r>
        <w:rPr>
          <w:i/>
          <w:iCs/>
        </w:rPr>
        <w:t>This should land as recognizable, not exaggerated — if the room nods rather than laughs, you've calibrated it correctly. If it feels too on-the-nose for this audience, soften the specific numbers rather than the point.</w:t>
      </w:r>
    </w:p>
    <w:p>
      <w:pPr>
        <w:spacing w:after="100"/>
        <w:ind w:left="360"/>
      </w:pPr>
      <w:r>
        <w:rPr>
          <w:b/>
          <w:bCs/>
          <w:color w:val="0E8C79"/>
        </w:rPr>
        <w:t xml:space="preserve">SAY: </w:t>
      </w:r>
      <w:r>
        <w:rPr>
          <w:i/>
          <w:iCs/>
        </w:rPr>
        <w:t>“That's Act One. Uncertainty about whether strategy is actually translating into execution, and whether the data underneath it can be trusted.”</w:t>
      </w:r>
    </w:p>
    <w:p>
      <w:pPr>
        <w:pStyle w:val="Heading2"/>
        <w:spacing w:after="120" w:before="260"/>
      </w:pPr>
      <w:r>
        <w:rPr>
          <w:b/>
          <w:bCs/>
          <w:color w:val="B8720C"/>
        </w:rPr>
        <w:t>5. Act II — The Operator's Grind</w:t>
      </w:r>
    </w:p>
    <w:p>
      <w:pPr>
        <w:spacing w:after="120"/>
      </w:pPr>
      <w:r>
        <w:t>{{acts.1.time}}  ·  Slides 7–8  ·  Objective: show the audience where the operator's time actually goes, so the AI story in Act III has a concrete 'before.'</w:t>
      </w:r>
    </w:p>
    <w:p>
      <w:pPr>
        <w:spacing w:after="100"/>
        <w:ind w:left="360"/>
      </w:pPr>
      <w:r>
        <w:rPr>
          <w:b/>
          <w:bCs/>
          <w:color w:val="0E8C79"/>
        </w:rPr>
        <w:t xml:space="preserve">SAY: </w:t>
      </w:r>
      <w:r>
        <w:rPr>
          <w:i/>
          <w:iCs/>
        </w:rPr>
        <w:t>“Behind that tracker is a person. Let's look at where her week actually goes.”</w:t>
      </w:r>
    </w:p>
    <w:p>
      <w:pPr>
        <w:spacing w:after="140"/>
        <w:ind w:left="360"/>
      </w:pPr>
      <w:r>
        <w:rPr>
          <w:b/>
          <w:bCs/>
          <w:color w:val="B8720C"/>
        </w:rPr>
        <w:t xml:space="preserve">DO: </w:t>
      </w:r>
      <w:r>
        <w:t>Advance to Slide 8. Let the 91% stat sit for a beat before narrating the task list.</w:t>
      </w:r>
    </w:p>
    <w:p>
      <w:pPr>
        <w:spacing w:after="100"/>
        <w:ind w:left="360"/>
      </w:pPr>
      <w:r>
        <w:rPr>
          <w:b/>
          <w:bCs/>
          <w:color w:val="0E8C79"/>
        </w:rPr>
        <w:t xml:space="preserve">SAY: </w:t>
      </w:r>
      <w:r>
        <w:rPr>
          <w:i/>
          <w:iCs/>
        </w:rPr>
        <w:t>“Chasing fourteen project owners for updates. Reconciling conflicting budget spreadsheets. Rebuilding the steering deck from scratch, again. Re-keying resourcing data by hand from four different calendars. Then the ad hoc requests — 'can you pull that number again?' Add it up, and ninety-one percent of a forty-hour week goes to manufacturing clarity — not exercising judgment.”</w:t>
      </w:r>
    </w:p>
    <w:p>
      <w:pPr>
        <w:spacing w:after="100"/>
        <w:ind w:left="360"/>
      </w:pPr>
      <w:r>
        <w:rPr>
          <w:b/>
          <w:bCs/>
          <w:color w:val="0E8C79"/>
        </w:rPr>
        <w:t xml:space="preserve">SAY: </w:t>
      </w:r>
      <w:r>
        <w:rPr>
          <w:i/>
          <w:iCs/>
        </w:rPr>
        <w:t>“She has about three and a half hours left over each week to actually think about the portfolio she's supposedly managing.”</w:t>
      </w:r>
    </w:p>
    <w:p>
      <w:pPr>
        <w:spacing w:after="160"/>
        <w:ind w:left="360"/>
      </w:pPr>
      <w:r>
        <w:rPr>
          <w:b/>
          <w:bCs/>
          <w:color w:val="C13A3E"/>
        </w:rPr>
        <w:t xml:space="preserve">WATCH FOR: </w:t>
      </w:r>
      <w:r>
        <w:rPr>
          <w:i/>
          <w:iCs/>
        </w:rPr>
        <w:t>Operators in the room may want to jump in here with their own war stories — that's a good sign of engagement. Acknowledge briefly, then bridge: 'Let's go fix that.'</w:t>
      </w:r>
    </w:p>
    <w:p>
      <w:pPr>
        <w:spacing w:after="100"/>
        <w:ind w:left="360"/>
      </w:pPr>
      <w:r>
        <w:rPr>
          <w:b/>
          <w:bCs/>
          <w:color w:val="0E8C79"/>
        </w:rPr>
        <w:t xml:space="preserve">SAY: </w:t>
      </w:r>
      <w:r>
        <w:rPr>
          <w:i/>
          <w:iCs/>
        </w:rPr>
        <w:t>“So the question isn't whether this person is capable. It's whether we're spending her time on the right ninety-one percent. Let's look at what changes when AI does the assembly work instead of her.”</w:t>
      </w:r>
    </w:p>
    <w:p>
      <w:pPr>
        <w:pStyle w:val="Heading2"/>
        <w:spacing w:after="120" w:before="260"/>
      </w:pPr>
      <w:r>
        <w:rPr>
          <w:b/>
          <w:bCs/>
          <w:color w:val="0E8C79"/>
        </w:rPr>
        <w:t>6. Act III — The Hero Moment (Live Demo)</w:t>
      </w:r>
    </w:p>
    <w:p>
      <w:pPr>
        <w:spacing w:after="120"/>
      </w:pPr>
      <w:r>
        <w:t>{{acts.2.time}}  ·  Interactive prototype (Slide 9 cues the switch)  ·  Objective: walk all 7 Pillars hands-on — the room already knows the names from the precursor, so this is where each one gets proven. Budget roughly 4 minutes per pillar, with Pillars 3 and 6 (Delivery Risk, Financial Precision) getting slightly more room since they carry the most exec weight.</w:t>
      </w:r>
    </w:p>
    <w:p>
      <w:pPr>
        <w:spacing w:after="140"/>
        <w:ind w:left="360"/>
      </w:pPr>
      <w:r>
        <w:rPr>
          <w:b/>
          <w:bCs/>
          <w:color w:val="B8720C"/>
        </w:rPr>
        <w:t xml:space="preserve">DO: </w:t>
      </w:r>
      <w:r>
        <w:t>Advance to Slide 9, then switch to the browser tab with the interactive demo. Click into Act III, then click through each pillar tab left to right as you narrate.</w:t>
      </w:r>
    </w:p>
    <w:p>
      <w:pPr>
        <w:spacing w:after="100"/>
        <w:ind w:left="360"/>
      </w:pPr>
      <w:r>
        <w:rPr>
          <w:b/>
          <w:bCs/>
          <w:color w:val="0E8C79"/>
        </w:rPr>
        <w:t xml:space="preserve">SAY: </w:t>
      </w:r>
      <w:r>
        <w:rPr>
          <w:i/>
          <w:iCs/>
        </w:rPr>
        <w:t>“Same data sources as what you just saw. Same portfolio. Now run through the Stochastic SPM engine — the same seven pillars from a few minutes ago, this time live.”</w:t>
      </w:r>
    </w:p>
    <w:p>
      <w:pPr>
        <w:pStyle w:val="Heading3"/>
        <w:spacing w:after="80" w:before="180"/>
      </w:pPr>
      <w:r>
        <w:rPr>
          <w:b/>
          <w:bCs/>
        </w:rPr>
        <w:t>Pillar 1 — Portfolio Value &amp; Strategic Allocation</w:t>
      </w:r>
    </w:p>
    <w:p>
      <w:pPr>
        <w:spacing w:after="140"/>
        <w:ind w:left="360"/>
      </w:pPr>
      <w:r>
        <w:rPr>
          <w:b/>
          <w:bCs/>
          <w:color w:val="B8720C"/>
        </w:rPr>
        <w:t xml:space="preserve">DO: </w:t>
      </w:r>
      <w:r>
        <w:t>Open the "P01 — Strategic Allocation" tab in the interactive demo.</w:t>
      </w:r>
    </w:p>
    <w:p>
      <w:pPr>
        <w:spacing w:after="100"/>
        <w:ind w:left="360"/>
      </w:pPr>
      <w:r>
        <w:rPr>
          <w:b/>
          <w:bCs/>
          <w:color w:val="0E8C79"/>
        </w:rPr>
        <w:t xml:space="preserve">SAY: </w:t>
      </w:r>
      <w:r>
        <w:rPr>
          <w:i/>
          <w:iCs/>
        </w:rPr>
        <w:t>“This isn't a keyword scan of project summaries. The engine is parsing charter language and backlog epics against our strategy metadata every night, and it's flagging drift before a human would ever notice it — the LATAM expansion initiative is talking about cost containment in a third of its open epics, not market entry.”</w:t>
      </w:r>
    </w:p>
    <w:p>
      <w:pPr>
        <w:spacing w:after="100"/>
        <w:ind w:left="360"/>
      </w:pPr>
      <w:r>
        <w:rPr>
          <w:b/>
          <w:bCs/>
          <w:color w:val="0E8C79"/>
        </w:rPr>
        <w:t xml:space="preserve">SAY: </w:t>
      </w:r>
      <w:r>
        <w:rPr>
          <w:i/>
          <w:iCs/>
        </w:rPr>
        <w:t>“And on the right, cluster analysis is showing us something a spreadsheet never could: which projects are secretly correlated through a shared infrastructure or vendor dependency, so we're not accidentally over-indexed on a single point of failure.”</w:t>
      </w:r>
    </w:p>
    <w:p>
      <w:pPr>
        <w:spacing w:after="160"/>
        <w:ind w:left="360"/>
      </w:pPr>
      <w:r>
        <w:rPr>
          <w:b/>
          <w:bCs/>
          <w:color w:val="C13A3E"/>
        </w:rPr>
        <w:t xml:space="preserve">WATCH FOR: </w:t>
      </w:r>
      <w:r>
        <w:rPr>
          <w:i/>
          <w:iCs/>
        </w:rPr>
        <w:t>An exec may ask 'how is this different from a dashboard filter?' — the answer is the model is reading unstructured text (charters, epics) and computing a drift *score*, not just displaying a status someone typed in.</w:t>
      </w:r>
    </w:p>
    <w:p>
      <w:pPr>
        <w:spacing w:after="180"/>
        <w:ind w:left="360"/>
      </w:pPr>
      <w:r>
        <w:rPr>
          <w:b/>
          <w:bCs/>
          <w:color w:val="B8720C"/>
        </w:rPr>
        <w:t xml:space="preserve">IF SHORT ON TIME: </w:t>
      </w:r>
      <w:r>
        <w:rPr>
          <w:i/>
          <w:iCs/>
        </w:rPr>
        <w:t>If pressed for time, show only the Strategic Drift Detection callouts and skip the cluster chart narration.</w:t>
      </w:r>
    </w:p>
    <w:p>
      <w:pPr>
        <w:pStyle w:val="Heading3"/>
        <w:spacing w:after="80" w:before="180"/>
      </w:pPr>
      <w:r>
        <w:rPr>
          <w:b/>
          <w:bCs/>
        </w:rPr>
        <w:t>Pillar 2 — Stochastic Capacity &amp; Resource Planning</w:t>
      </w:r>
    </w:p>
    <w:p>
      <w:pPr>
        <w:spacing w:after="140"/>
        <w:ind w:left="360"/>
      </w:pPr>
      <w:r>
        <w:rPr>
          <w:b/>
          <w:bCs/>
          <w:color w:val="B8720C"/>
        </w:rPr>
        <w:t xml:space="preserve">DO: </w:t>
      </w:r>
      <w:r>
        <w:t>Open the "P02 — Capacity &amp; Queuing" tab in the interactive demo.</w:t>
      </w:r>
    </w:p>
    <w:p>
      <w:pPr>
        <w:spacing w:after="100"/>
        <w:ind w:left="360"/>
      </w:pPr>
      <w:r>
        <w:rPr>
          <w:b/>
          <w:bCs/>
          <w:color w:val="0E8C79"/>
        </w:rPr>
        <w:t xml:space="preserve">SAY: </w:t>
      </w:r>
      <w:r>
        <w:rPr>
          <w:i/>
          <w:iCs/>
        </w:rPr>
        <w:t>“This is queuing theory, not a spreadsheet that flags anyone over forty hours. The model is computing bottleneck probability from arrival rate and team capacity, in real time.”</w:t>
      </w:r>
    </w:p>
    <w:p>
      <w:pPr>
        <w:spacing w:after="100"/>
        <w:ind w:left="360"/>
      </w:pPr>
      <w:r>
        <w:rPr>
          <w:b/>
          <w:bCs/>
          <w:color w:val="0E8C79"/>
        </w:rPr>
        <w:t xml:space="preserve">SAY: </w:t>
      </w:r>
      <w:r>
        <w:rPr>
          <w:i/>
          <w:iCs/>
        </w:rPr>
        <w:t>“Here's the moment that matters: once Platform Engineering crosses about eighty percent utilization, wait time stops climbing in a straight line and starts compounding. We can see it before it happens — expected queue wait goes from three days to over eleven within three sprints if nothing changes.”</w:t>
      </w:r>
    </w:p>
    <w:p>
      <w:pPr>
        <w:spacing w:after="160"/>
        <w:ind w:left="360"/>
      </w:pPr>
      <w:r>
        <w:rPr>
          <w:b/>
          <w:bCs/>
          <w:color w:val="C13A3E"/>
        </w:rPr>
        <w:t xml:space="preserve">WATCH FOR: </w:t>
      </w:r>
      <w:r>
        <w:rPr>
          <w:i/>
          <w:iCs/>
        </w:rPr>
        <w:t>Operators will recognize this pattern immediately — let it land before moving on.</w:t>
      </w:r>
    </w:p>
    <w:p>
      <w:pPr>
        <w:pStyle w:val="Heading3"/>
        <w:spacing w:after="80" w:before="180"/>
      </w:pPr>
      <w:r>
        <w:rPr>
          <w:b/>
          <w:bCs/>
        </w:rPr>
        <w:t>Pillar 3 — Risk Management &amp; Predictive Delivery</w:t>
      </w:r>
    </w:p>
    <w:p>
      <w:pPr>
        <w:spacing w:after="140"/>
        <w:ind w:left="360"/>
      </w:pPr>
      <w:r>
        <w:rPr>
          <w:b/>
          <w:bCs/>
          <w:color w:val="B8720C"/>
        </w:rPr>
        <w:t xml:space="preserve">DO: </w:t>
      </w:r>
      <w:r>
        <w:t>Open the "P03 — Delivery Risk" tab in the interactive demo.</w:t>
      </w:r>
    </w:p>
    <w:p>
      <w:pPr>
        <w:spacing w:after="100"/>
        <w:ind w:left="360"/>
      </w:pPr>
      <w:r>
        <w:rPr>
          <w:b/>
          <w:bCs/>
          <w:color w:val="0E8C79"/>
        </w:rPr>
        <w:t xml:space="preserve">SAY: </w:t>
      </w:r>
      <w:r>
        <w:rPr>
          <w:i/>
          <w:iCs/>
        </w:rPr>
        <w:t>“This is ten thousand simulated paths for the Fraud Detection pipeline, run overnight — not one person's gut-feel RAG status.”</w:t>
      </w:r>
    </w:p>
    <w:p>
      <w:pPr>
        <w:spacing w:after="100"/>
        <w:ind w:left="360"/>
      </w:pPr>
      <w:r>
        <w:rPr>
          <w:b/>
          <w:bCs/>
          <w:color w:val="0E8C79"/>
        </w:rPr>
        <w:t xml:space="preserve">SAY: </w:t>
      </w:r>
      <w:r>
        <w:rPr>
          <w:i/>
          <w:iCs/>
        </w:rPr>
        <w:t>“The output is a real probability distribution. The date currently sitting in the steering deck — August 15th — has only a twenty-two percent chance of being met. September 30th is where we actually cross eighty-five percent confidence.”</w:t>
      </w:r>
    </w:p>
    <w:p>
      <w:pPr>
        <w:spacing w:after="100"/>
        <w:ind w:left="360"/>
      </w:pPr>
      <w:r>
        <w:rPr>
          <w:b/>
          <w:bCs/>
          <w:color w:val="0E8C79"/>
        </w:rPr>
        <w:t xml:space="preserve">SAY: </w:t>
      </w:r>
      <w:r>
        <w:rPr>
          <w:i/>
          <w:iCs/>
        </w:rPr>
        <w:t>“This is usually the moment a room goes quiet. That's the whole point: a single RAG color was hiding this.”</w:t>
      </w:r>
    </w:p>
    <w:p>
      <w:pPr>
        <w:spacing w:after="160"/>
        <w:ind w:left="360"/>
      </w:pPr>
      <w:r>
        <w:rPr>
          <w:b/>
          <w:bCs/>
          <w:color w:val="C13A3E"/>
        </w:rPr>
        <w:t xml:space="preserve">WATCH FOR: </w:t>
      </w:r>
      <w:r>
        <w:rPr>
          <w:i/>
          <w:iCs/>
        </w:rPr>
        <w:t>An exec will likely ask which date they should now commit to publicly. Bridge to: 'that's exactly the conversation this is designed to force earlier, with a number behind it instead of an opinion.'</w:t>
      </w:r>
    </w:p>
    <w:p>
      <w:pPr>
        <w:pStyle w:val="Heading3"/>
        <w:spacing w:after="80" w:before="180"/>
      </w:pPr>
      <w:r>
        <w:rPr>
          <w:b/>
          <w:bCs/>
        </w:rPr>
        <w:t>Pillar 4 — Operational Metrics via Statistical Process Control</w:t>
      </w:r>
    </w:p>
    <w:p>
      <w:pPr>
        <w:spacing w:after="140"/>
        <w:ind w:left="360"/>
      </w:pPr>
      <w:r>
        <w:rPr>
          <w:b/>
          <w:bCs/>
          <w:color w:val="B8720C"/>
        </w:rPr>
        <w:t xml:space="preserve">DO: </w:t>
      </w:r>
      <w:r>
        <w:t>Open the "P04 — SPC Control" tab in the interactive demo.</w:t>
      </w:r>
    </w:p>
    <w:p>
      <w:pPr>
        <w:spacing w:after="100"/>
        <w:ind w:left="360"/>
      </w:pPr>
      <w:r>
        <w:rPr>
          <w:b/>
          <w:bCs/>
          <w:color w:val="0E8C79"/>
        </w:rPr>
        <w:t xml:space="preserve">SAY: </w:t>
      </w:r>
      <w:r>
        <w:rPr>
          <w:i/>
          <w:iCs/>
        </w:rPr>
        <w:t>“Remember Act Two — the hours spent chasing status, rebuilding the deck, recoloring RAG by feel? All of that was in service of producing a number. This pillar is the graduation past that. Reporting tells you a number changed. SPC tells you whether that change actually means anything.”</w:t>
      </w:r>
    </w:p>
    <w:p>
      <w:pPr>
        <w:spacing w:after="100"/>
        <w:ind w:left="360"/>
      </w:pPr>
      <w:r>
        <w:rPr>
          <w:b/>
          <w:bCs/>
          <w:color w:val="0E8C79"/>
        </w:rPr>
        <w:t xml:space="preserve">SAY: </w:t>
      </w:r>
      <w:r>
        <w:rPr>
          <w:i/>
          <w:iCs/>
        </w:rPr>
        <w:t>“Control limits, computed from this team's own historical variation — not a rule of thumb.”</w:t>
      </w:r>
    </w:p>
    <w:p>
      <w:pPr>
        <w:spacing w:after="100"/>
        <w:ind w:left="360"/>
      </w:pPr>
      <w:r>
        <w:rPr>
          <w:b/>
          <w:bCs/>
          <w:color w:val="0E8C79"/>
        </w:rPr>
        <w:t xml:space="preserve">SAY: </w:t>
      </w:r>
      <w:r>
        <w:rPr>
          <w:i/>
          <w:iCs/>
        </w:rPr>
        <w:t>“Look at the velocity line: only one point actually breaches the control limit. That's the one worth a leadership conversation. Every other wiggle on this chart is normal noise the system now filters out automatically, instead of triggering a status meeting. Nobody had to report on it for that to be true.”</w:t>
      </w:r>
    </w:p>
    <w:p>
      <w:pPr>
        <w:spacing w:after="160"/>
        <w:ind w:left="360"/>
      </w:pPr>
      <w:r>
        <w:rPr>
          <w:b/>
          <w:bCs/>
          <w:color w:val="C13A3E"/>
        </w:rPr>
        <w:t xml:space="preserve">WATCH FOR: </w:t>
      </w:r>
      <w:r>
        <w:rPr>
          <w:i/>
          <w:iCs/>
        </w:rPr>
        <w:t>An exec may push back with 'isn't this just a dashboard with thresholds?' The distinction: the thresholds themselves are computed from the process's own statistical variation, not set by a person guessing at what 'too slow' means.</w:t>
      </w:r>
    </w:p>
    <w:p>
      <w:pPr>
        <w:spacing w:after="180"/>
        <w:ind w:left="360"/>
      </w:pPr>
      <w:r>
        <w:rPr>
          <w:b/>
          <w:bCs/>
          <w:color w:val="B8720C"/>
        </w:rPr>
        <w:t xml:space="preserve">IF SHORT ON TIME: </w:t>
      </w:r>
      <w:r>
        <w:rPr>
          <w:i/>
          <w:iCs/>
        </w:rPr>
        <w:t>This pillar can be trimmed to the first SAY line only if the room is engaged elsewhere and time is tight — the callback to Act II is the part worth protecting, since it's what makes the pillar land as a graduation rather than just another chart.</w:t>
      </w:r>
    </w:p>
    <w:p>
      <w:pPr>
        <w:pStyle w:val="Heading3"/>
        <w:spacing w:after="80" w:before="180"/>
      </w:pPr>
      <w:r>
        <w:rPr>
          <w:b/>
          <w:bCs/>
        </w:rPr>
        <w:t>Pillar 5 — Talent Elevation &amp; Maturity Management</w:t>
      </w:r>
    </w:p>
    <w:p>
      <w:pPr>
        <w:spacing w:after="140"/>
        <w:ind w:left="360"/>
      </w:pPr>
      <w:r>
        <w:rPr>
          <w:b/>
          <w:bCs/>
          <w:color w:val="B8720C"/>
        </w:rPr>
        <w:t xml:space="preserve">DO: </w:t>
      </w:r>
      <w:r>
        <w:t>Open the "P05 — Talent Elevation" tab in the interactive demo.</w:t>
      </w:r>
    </w:p>
    <w:p>
      <w:pPr>
        <w:spacing w:after="100"/>
        <w:ind w:left="360"/>
      </w:pPr>
      <w:r>
        <w:rPr>
          <w:b/>
          <w:bCs/>
          <w:color w:val="0E8C79"/>
        </w:rPr>
        <w:t xml:space="preserve">SAY: </w:t>
      </w:r>
      <w:r>
        <w:rPr>
          <w:i/>
          <w:iCs/>
        </w:rPr>
        <w:t>“This is the pillar that answers a question every leader in this room is quietly asking: does using this thing actually make someone better at their job? Look at the same PMO, split by how fully each PM has adopted the AI-assisted workflow.”</w:t>
      </w:r>
    </w:p>
    <w:p>
      <w:pPr>
        <w:spacing w:after="100"/>
        <w:ind w:left="360"/>
      </w:pPr>
      <w:r>
        <w:rPr>
          <w:b/>
          <w:bCs/>
          <w:color w:val="0E8C79"/>
        </w:rPr>
        <w:t xml:space="preserve">SAY: </w:t>
      </w:r>
      <w:r>
        <w:rPr>
          <w:i/>
          <w:iCs/>
        </w:rPr>
        <w:t>“PMs with high adoption are hitting on-time delivery eighty-eight percent of the time, versus sixty-one percent for PMs still working the old manual way. Forecast accuracy runs ninety-four percent versus seventy-one. And the PMs who've fully embraced this get forty-one percent of their week back for actual judgment — the PMs who haven't are stuck around twelve percent, which is close to where we started back in Act Two.”</w:t>
      </w:r>
    </w:p>
    <w:p>
      <w:pPr>
        <w:spacing w:after="100"/>
        <w:ind w:left="360"/>
      </w:pPr>
      <w:r>
        <w:rPr>
          <w:b/>
          <w:bCs/>
          <w:color w:val="0E8C79"/>
        </w:rPr>
        <w:t xml:space="preserve">SAY: </w:t>
      </w:r>
      <w:r>
        <w:rPr>
          <w:i/>
          <w:iCs/>
        </w:rPr>
        <w:t>“That's not a talent gap. It's an adoption gap — and it's closeable.”</w:t>
      </w:r>
    </w:p>
    <w:p>
      <w:pPr>
        <w:spacing w:after="100"/>
        <w:ind w:left="360"/>
      </w:pPr>
      <w:r>
        <w:rPr>
          <w:b/>
          <w:bCs/>
          <w:color w:val="0E8C79"/>
        </w:rPr>
        <w:t xml:space="preserve">SAY: </w:t>
      </w:r>
      <w:r>
        <w:rPr>
          <w:i/>
          <w:iCs/>
        </w:rPr>
        <w:t>“Underneath it, this is how: regression on every PM's historical estimates versus actuals. It found that one PM's validation-phase estimates run thirty-two percent short, on average — and it surfaces that as a live nudge while they're drafting the next requirements doc, not as a performance review finding six months later. That's the mechanism that moves someone from the low-adoption bar to the high-adoption bar.”</w:t>
      </w:r>
    </w:p>
    <w:p>
      <w:pPr>
        <w:spacing w:after="160"/>
        <w:ind w:left="360"/>
      </w:pPr>
      <w:r>
        <w:rPr>
          <w:b/>
          <w:bCs/>
          <w:color w:val="C13A3E"/>
        </w:rPr>
        <w:t xml:space="preserve">WATCH FOR: </w:t>
      </w:r>
      <w:r>
        <w:rPr>
          <w:i/>
          <w:iCs/>
        </w:rPr>
        <w:t>This pillar tends to land well with operators and can feel sensitive to individual contributors in the room — frame it explicitly as elevation, not surveillance. The point is that the gap is closeable through adoption, not a fixed judgment about anyone's talent.</w:t>
      </w:r>
    </w:p>
    <w:p>
      <w:pPr>
        <w:spacing w:after="180"/>
        <w:ind w:left="360"/>
      </w:pPr>
      <w:r>
        <w:rPr>
          <w:b/>
          <w:bCs/>
          <w:color w:val="B8720C"/>
        </w:rPr>
        <w:t xml:space="preserve">IF SHORT ON TIME: </w:t>
      </w:r>
      <w:r>
        <w:rPr>
          <w:i/>
          <w:iCs/>
        </w:rPr>
        <w:t>If short on time, lead with the productivity comparison chart and one sentence on the mechanism — the adoption-gap framing is the part worth protecting.</w:t>
      </w:r>
    </w:p>
    <w:p>
      <w:pPr>
        <w:pStyle w:val="Heading3"/>
        <w:spacing w:after="80" w:before="180"/>
      </w:pPr>
      <w:r>
        <w:rPr>
          <w:b/>
          <w:bCs/>
        </w:rPr>
        <w:t>Pillar 6 — Financial Precision</w:t>
      </w:r>
    </w:p>
    <w:p>
      <w:pPr>
        <w:spacing w:after="140"/>
        <w:ind w:left="360"/>
      </w:pPr>
      <w:r>
        <w:rPr>
          <w:b/>
          <w:bCs/>
          <w:color w:val="B8720C"/>
        </w:rPr>
        <w:t xml:space="preserve">DO: </w:t>
      </w:r>
      <w:r>
        <w:t>Open the "P06 — Financial Precision" tab in the interactive demo.</w:t>
      </w:r>
    </w:p>
    <w:p>
      <w:pPr>
        <w:spacing w:after="100"/>
        <w:ind w:left="360"/>
      </w:pPr>
      <w:r>
        <w:rPr>
          <w:b/>
          <w:bCs/>
          <w:color w:val="0E8C79"/>
        </w:rPr>
        <w:t xml:space="preserve">SAY: </w:t>
      </w:r>
      <w:r>
        <w:rPr>
          <w:i/>
          <w:iCs/>
        </w:rPr>
        <w:t>“Estimate to Complete used to mean re-running a static formula when someone remembered to update a number. Now it's a continuously updating Bayesian forecast — ARIMA time-series blended with Bayesian inference, recalculating every time new delivery data lands.”</w:t>
      </w:r>
    </w:p>
    <w:p>
      <w:pPr>
        <w:spacing w:after="100"/>
        <w:ind w:left="360"/>
      </w:pPr>
      <w:r>
        <w:rPr>
          <w:b/>
          <w:bCs/>
          <w:color w:val="0E8C79"/>
        </w:rPr>
        <w:t xml:space="preserve">SAY: </w:t>
      </w:r>
      <w:r>
        <w:rPr>
          <w:i/>
          <w:iCs/>
        </w:rPr>
        <w:t>“And NPV and IRR aren't single point estimates anymore — they carry a confidence interval. When expected value on this initiative drifted within four points of our governance trigger last month, the workflow fired on its own. Nobody had to notice it manually.”</w:t>
      </w:r>
    </w:p>
    <w:p>
      <w:pPr>
        <w:spacing w:after="160"/>
        <w:ind w:left="360"/>
      </w:pPr>
      <w:r>
        <w:rPr>
          <w:b/>
          <w:bCs/>
          <w:color w:val="C13A3E"/>
        </w:rPr>
        <w:t xml:space="preserve">WATCH FOR: </w:t>
      </w:r>
      <w:r>
        <w:rPr>
          <w:i/>
          <w:iCs/>
        </w:rPr>
        <w:t>This is usually the pillar that resonates most with the CFO-adjacent people in the room — let it breathe.</w:t>
      </w:r>
    </w:p>
    <w:p>
      <w:pPr>
        <w:pStyle w:val="Heading3"/>
        <w:spacing w:after="80" w:before="180"/>
      </w:pPr>
      <w:r>
        <w:rPr>
          <w:b/>
          <w:bCs/>
        </w:rPr>
        <w:t>Pillar 7 — Direct Business Outcome &amp; Value Realization</w:t>
      </w:r>
    </w:p>
    <w:p>
      <w:pPr>
        <w:spacing w:after="140"/>
        <w:ind w:left="360"/>
      </w:pPr>
      <w:r>
        <w:rPr>
          <w:b/>
          <w:bCs/>
          <w:color w:val="B8720C"/>
        </w:rPr>
        <w:t xml:space="preserve">DO: </w:t>
      </w:r>
      <w:r>
        <w:t>Open the "P07 — Outcome Twin" tab in the interactive demo.</w:t>
      </w:r>
    </w:p>
    <w:p>
      <w:pPr>
        <w:spacing w:after="100"/>
        <w:ind w:left="360"/>
      </w:pPr>
      <w:r>
        <w:rPr>
          <w:b/>
          <w:bCs/>
          <w:color w:val="0E8C79"/>
        </w:rPr>
        <w:t xml:space="preserve">SAY: </w:t>
      </w:r>
      <w:r>
        <w:rPr>
          <w:i/>
          <w:iCs/>
        </w:rPr>
        <w:t>“This is the pillar that shifts the whole conversation from 'did we ship on time' to 'did it matter.'”</w:t>
      </w:r>
    </w:p>
    <w:p>
      <w:pPr>
        <w:spacing w:after="100"/>
        <w:ind w:left="360"/>
      </w:pPr>
      <w:r>
        <w:rPr>
          <w:b/>
          <w:bCs/>
          <w:color w:val="0E8C79"/>
        </w:rPr>
        <w:t xml:space="preserve">SAY: </w:t>
      </w:r>
      <w:r>
        <w:rPr>
          <w:i/>
          <w:iCs/>
        </w:rPr>
        <w:t>“The digital twin maps execution dependencies straight through to OKRs and dollars — a three-week delay on the fraud pipeline maps to four hundred ten thousand dollars of projected Q4 exposure.”</w:t>
      </w:r>
    </w:p>
    <w:p>
      <w:pPr>
        <w:spacing w:after="100"/>
        <w:ind w:left="360"/>
      </w:pPr>
      <w:r>
        <w:rPr>
          <w:b/>
          <w:bCs/>
          <w:color w:val="0E8C79"/>
        </w:rPr>
        <w:t xml:space="preserve">SAY: </w:t>
      </w:r>
      <w:r>
        <w:rPr>
          <w:i/>
          <w:iCs/>
        </w:rPr>
        <w:t>“And causal inference is how we prove it, not just claim it. We're comparing the treated initiative against a synthetic control — a version of the world where we didn't run it — and isolating a four-point retention lift that's actually attributable to the work, not to a general market trend.”</w:t>
      </w:r>
    </w:p>
    <w:p>
      <w:pPr>
        <w:spacing w:after="160"/>
        <w:ind w:left="360"/>
      </w:pPr>
      <w:r>
        <w:rPr>
          <w:b/>
          <w:bCs/>
          <w:color w:val="C13A3E"/>
        </w:rPr>
        <w:t xml:space="preserve">WATCH FOR: </w:t>
      </w:r>
      <w:r>
        <w:rPr>
          <w:i/>
          <w:iCs/>
        </w:rPr>
        <w:t>This is the strongest closing pillar for an exec audience — if you're behind schedule, protect time here over Pillars 4 or 5.</w:t>
      </w:r>
    </w:p>
    <w:p>
      <w:pPr>
        <w:spacing w:after="120"/>
      </w:pPr>
      <w:r>
        <w:rPr>
          <w:b/>
          <w:bCs/>
        </w:rPr>
        <w:t>That's the Hero Moment: seven pillars, one system, and every number on screen now carries a confidence interval instead of an opinion.</w:t>
      </w:r>
    </w:p>
    <w:p>
      <w:r/>
    </w:p>
    <w:p>
      <w:pPr>
        <w:pStyle w:val="Heading2"/>
        <w:spacing w:after="120" w:before="260"/>
      </w:pPr>
      <w:r>
        <w:rPr>
          <w:b/>
          <w:bCs/>
          <w:color w:val="5B4FC4"/>
        </w:rPr>
        <w:t>7. Act IV — The Value Hypothesis</w:t>
      </w:r>
    </w:p>
    <w:p>
      <w:pPr>
        <w:spacing w:after="120"/>
      </w:pPr>
      <w:r>
        <w:t>{{acts.3.time}}  ·  Slide 10  ·  Objective: translate the demo into numbers a budget owner can defend upward.</w:t>
      </w:r>
    </w:p>
    <w:p>
      <w:pPr>
        <w:spacing w:after="100"/>
        <w:ind w:left="360"/>
      </w:pPr>
      <w:r>
        <w:rPr>
          <w:b/>
          <w:bCs/>
          <w:color w:val="0E8C79"/>
        </w:rPr>
        <w:t xml:space="preserve">SAY: </w:t>
      </w:r>
      <w:r>
        <w:rPr>
          <w:i/>
          <w:iCs/>
        </w:rPr>
        <w:t>“With the system doing the assembly work, value stops being an anecdote and starts being a number you can argue with.”</w:t>
      </w:r>
    </w:p>
    <w:p>
      <w:pPr>
        <w:spacing w:after="140"/>
        <w:ind w:left="360"/>
      </w:pPr>
      <w:r>
        <w:rPr>
          <w:b/>
          <w:bCs/>
          <w:color w:val="B8720C"/>
        </w:rPr>
        <w:t xml:space="preserve">DO: </w:t>
      </w:r>
      <w:r>
        <w:t>Advance to Slide 10. Walk the three stat cards left to right, then land on the decision-velocity comparison.</w:t>
      </w:r>
    </w:p>
    <w:p>
      <w:pPr>
        <w:spacing w:after="100"/>
        <w:ind w:left="360"/>
      </w:pPr>
      <w:r>
        <w:rPr>
          <w:b/>
          <w:bCs/>
          <w:color w:val="0E8C79"/>
        </w:rPr>
        <w:t xml:space="preserve">SAY: </w:t>
      </w:r>
      <w:r>
        <w:rPr>
          <w:i/>
          <w:iCs/>
        </w:rPr>
        <w:t>“Decisions that used to take nineteen days from 'a risk emerges' to 'leadership actually acts on it' now take just over two. That's not a productivity story — that's a risk story. Every day shaved off that cycle is a day less of exposure.”</w:t>
      </w:r>
    </w:p>
    <w:p>
      <w:pPr>
        <w:spacing w:after="160"/>
        <w:ind w:left="360"/>
      </w:pPr>
      <w:r>
        <w:rPr>
          <w:b/>
          <w:bCs/>
          <w:color w:val="C13A3E"/>
        </w:rPr>
        <w:t xml:space="preserve">WATCH FOR: </w:t>
      </w:r>
      <w:r>
        <w:rPr>
          <w:i/>
          <w:iCs/>
        </w:rPr>
        <w:t>This is where the mixed audience tends to split: execs want the velocity number, operators want the 31.5-hours-returned number. Give both explicitly rather than picking one.</w:t>
      </w:r>
    </w:p>
    <w:p>
      <w:pPr>
        <w:pStyle w:val="Heading2"/>
        <w:spacing w:after="120" w:before="260"/>
      </w:pPr>
      <w:r>
        <w:rPr>
          <w:b/>
          <w:bCs/>
          <w:color w:val="0E8C79"/>
        </w:rPr>
        <w:t>8. Act V — The Outcome Realized</w:t>
      </w:r>
    </w:p>
    <w:p>
      <w:pPr>
        <w:spacing w:after="120"/>
      </w:pPr>
      <w:r>
        <w:t>{{acts.4.time}}  ·  Slide 11  ·  Objective: close the loop back to the anxiety named in Act I.</w:t>
      </w:r>
    </w:p>
    <w:p>
      <w:pPr>
        <w:spacing w:after="140"/>
        <w:ind w:left="360"/>
      </w:pPr>
      <w:r>
        <w:rPr>
          <w:b/>
          <w:bCs/>
          <w:color w:val="B8720C"/>
        </w:rPr>
        <w:t xml:space="preserve">DO: </w:t>
      </w:r>
      <w:r>
        <w:t>Advance to Slide 11. Read the closing quote slowly — it's designed to land as the answer to the Act I quote.</w:t>
      </w:r>
    </w:p>
    <w:p>
      <w:pPr>
        <w:spacing w:after="100"/>
        <w:ind w:left="360"/>
      </w:pPr>
      <w:r>
        <w:rPr>
          <w:b/>
          <w:bCs/>
          <w:color w:val="0E8C79"/>
        </w:rPr>
        <w:t xml:space="preserve">SAY: </w:t>
      </w:r>
      <w:r>
        <w:rPr>
          <w:i/>
          <w:iCs/>
        </w:rPr>
        <w:t>“Two quarters in: $5.8M in documented ROI, forecast accuracy tightened from plus-or-minus twenty-two percent to plus-or-minus four, and nine of eleven red-flag events caught before they ever became a red status in a steering deck.”</w:t>
      </w:r>
    </w:p>
    <w:p>
      <w:pPr>
        <w:spacing w:after="100"/>
        <w:ind w:left="360"/>
      </w:pPr>
      <w:r>
        <w:rPr>
          <w:b/>
          <w:bCs/>
          <w:color w:val="0E8C79"/>
        </w:rPr>
        <w:t xml:space="preserve">SAY: </w:t>
      </w:r>
      <w:r>
        <w:rPr>
          <w:i/>
          <w:iCs/>
        </w:rPr>
        <w:t>“And the leader we opened with — the trust survey score moved from 4.1 to 8.7. In their own words: 'I stopped asking whether the number was real. Now I ask what we're going to do about it.'”</w:t>
      </w:r>
    </w:p>
    <w:p>
      <w:pPr>
        <w:spacing w:after="120"/>
      </w:pPr>
      <w:r>
        <w:rPr>
          <w:b/>
          <w:bCs/>
        </w:rPr>
        <w:t>That's the arc closed: the anxiety that opened this story now has a measurable answer.</w:t>
      </w:r>
    </w:p>
    <w:p>
      <w:pPr>
        <w:pStyle w:val="Heading2"/>
        <w:spacing w:after="120" w:before="260"/>
      </w:pPr>
      <w:r>
        <w:rPr>
          <w:b/>
          <w:bCs/>
          <w:color w:val="0B1220"/>
        </w:rPr>
        <w:t>9. Close / Q&amp;A Buffer</w:t>
      </w:r>
    </w:p>
    <w:p>
      <w:pPr>
        <w:spacing w:after="120"/>
      </w:pPr>
      <w:r>
        <w:t>0:58–1:00  ·  Slide 12</w:t>
      </w:r>
    </w:p>
    <w:p>
      <w:pPr>
        <w:spacing w:after="100"/>
        <w:ind w:left="360"/>
      </w:pPr>
      <w:r>
        <w:rPr>
          <w:b/>
          <w:bCs/>
          <w:color w:val="0E8C79"/>
        </w:rPr>
        <w:t xml:space="preserve">SAY: </w:t>
      </w:r>
      <w:r>
        <w:rPr>
          <w:i/>
          <w:iCs/>
        </w:rPr>
        <w:t>“If you're running one pilot this quarter, start with one initiative through Monte Carlo and SPC, connect your charter and backlog data for drift detection, and baseline your current decision velocity today — because that's the number you'll want to compare against in two quarters.”</w:t>
      </w:r>
    </w:p>
    <w:p>
      <w:pPr>
        <w:spacing w:after="120"/>
      </w:pPr>
      <w:r>
        <w:t>Open the floor. Common questions and suggested bridges are in the appendix below.</w:t>
      </w:r>
    </w:p>
    <w:p>
      <w:r/>
    </w:p>
    <w:p>
      <w:pPr>
        <w:pStyle w:val="Heading2"/>
        <w:spacing w:after="120" w:before="260"/>
      </w:pPr>
      <w:r>
        <w:rPr>
          <w:b/>
          <w:bCs/>
          <w:color w:val="0B1220"/>
        </w:rPr>
        <w:t>Appendix A — The 7 Pillars Reference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0"/>
            <w:shd w:fill="5B4FC4" w:val="clear"/>
            <w:tcMar>
              <w:top w:type="dxa" w:w="80"/>
              <w:left w:type="dxa" w:w="120"/>
              <w:bottom w:type="dxa" w:w="80"/>
              <w:right w:type="dxa" w:w="120"/>
            </w:tcMar>
          </w:tcPr>
          <w:p>
            <w:r>
              <w:rPr>
                <w:b/>
                <w:bCs/>
                <w:color w:val="FFFFFF"/>
                <w:sz w:val="20"/>
                <w:szCs w:val="20"/>
              </w:rPr>
              <w:t>#</w:t>
            </w:r>
          </w:p>
        </w:tc>
        <w:tc>
          <w:tcPr>
            <w:tcW w:type="dxa" w:w="3800"/>
            <w:shd w:fill="5B4FC4" w:val="clear"/>
            <w:tcMar>
              <w:top w:type="dxa" w:w="80"/>
              <w:left w:type="dxa" w:w="120"/>
              <w:bottom w:type="dxa" w:w="80"/>
              <w:right w:type="dxa" w:w="120"/>
            </w:tcMar>
          </w:tcPr>
          <w:p>
            <w:r>
              <w:rPr>
                <w:b/>
                <w:bCs/>
                <w:color w:val="FFFFFF"/>
                <w:sz w:val="20"/>
                <w:szCs w:val="20"/>
              </w:rPr>
              <w:t>Pillar</w:t>
            </w:r>
          </w:p>
        </w:tc>
        <w:tc>
          <w:tcPr>
            <w:tcW w:type="dxa" w:w="5200"/>
            <w:shd w:fill="5B4FC4" w:val="clear"/>
            <w:tcMar>
              <w:top w:type="dxa" w:w="80"/>
              <w:left w:type="dxa" w:w="120"/>
              <w:bottom w:type="dxa" w:w="80"/>
              <w:right w:type="dxa" w:w="120"/>
            </w:tcMar>
          </w:tcPr>
          <w:p>
            <w:r>
              <w:rPr>
                <w:b/>
                <w:bCs/>
                <w:color w:val="FFFFFF"/>
                <w:sz w:val="20"/>
                <w:szCs w:val="20"/>
              </w:rPr>
              <w:t>Signature Technique</w:t>
            </w:r>
          </w:p>
        </w:tc>
      </w:tr>
      <w:tr>
        <w:tc>
          <w:tcPr>
            <w:tcW w:type="dxa" w:w="500"/>
            <w:shd w:fill="FFFFFF" w:val="clear"/>
            <w:tcMar>
              <w:top w:type="dxa" w:w="80"/>
              <w:left w:type="dxa" w:w="120"/>
              <w:bottom w:type="dxa" w:w="80"/>
              <w:right w:type="dxa" w:w="120"/>
            </w:tcMar>
          </w:tcPr>
          <w:p>
            <w:r>
              <w:rPr>
                <w:b w:val="false"/>
                <w:bCs w:val="false"/>
                <w:color w:val="3A3A3A"/>
                <w:sz w:val="20"/>
                <w:szCs w:val="20"/>
              </w:rPr>
              <w:t>1</w:t>
            </w:r>
          </w:p>
        </w:tc>
        <w:tc>
          <w:tcPr>
            <w:tcW w:type="dxa" w:w="3800"/>
            <w:shd w:fill="FFFFFF" w:val="clear"/>
            <w:tcMar>
              <w:top w:type="dxa" w:w="80"/>
              <w:left w:type="dxa" w:w="120"/>
              <w:bottom w:type="dxa" w:w="80"/>
              <w:right w:type="dxa" w:w="120"/>
            </w:tcMar>
          </w:tcPr>
          <w:p>
            <w:r>
              <w:rPr>
                <w:b w:val="false"/>
                <w:bCs w:val="false"/>
                <w:color w:val="3A3A3A"/>
                <w:sz w:val="20"/>
                <w:szCs w:val="20"/>
              </w:rPr>
              <w:t>Portfolio Value &amp; Strategic Allocation</w:t>
            </w:r>
          </w:p>
        </w:tc>
        <w:tc>
          <w:tcPr>
            <w:tcW w:type="dxa" w:w="5200"/>
            <w:shd w:fill="FFFFFF" w:val="clear"/>
            <w:tcMar>
              <w:top w:type="dxa" w:w="80"/>
              <w:left w:type="dxa" w:w="120"/>
              <w:bottom w:type="dxa" w:w="80"/>
              <w:right w:type="dxa" w:w="120"/>
            </w:tcMar>
          </w:tcPr>
          <w:p>
            <w:r>
              <w:rPr>
                <w:b w:val="false"/>
                <w:bCs w:val="false"/>
                <w:color w:val="3A3A3A"/>
                <w:sz w:val="20"/>
                <w:szCs w:val="20"/>
              </w:rPr>
              <w:t>NLP drift detection · cluster &amp; factor analysis</w:t>
            </w:r>
          </w:p>
        </w:tc>
      </w:tr>
      <w:tr>
        <w:tc>
          <w:tcPr>
            <w:tcW w:type="dxa" w:w="500"/>
            <w:shd w:fill="F4F6FA" w:val="clear"/>
            <w:tcMar>
              <w:top w:type="dxa" w:w="80"/>
              <w:left w:type="dxa" w:w="120"/>
              <w:bottom w:type="dxa" w:w="80"/>
              <w:right w:type="dxa" w:w="120"/>
            </w:tcMar>
          </w:tcPr>
          <w:p>
            <w:r>
              <w:rPr>
                <w:b w:val="false"/>
                <w:bCs w:val="false"/>
                <w:color w:val="3A3A3A"/>
                <w:sz w:val="20"/>
                <w:szCs w:val="20"/>
              </w:rPr>
              <w:t>2</w:t>
            </w:r>
          </w:p>
        </w:tc>
        <w:tc>
          <w:tcPr>
            <w:tcW w:type="dxa" w:w="3800"/>
            <w:shd w:fill="F4F6FA" w:val="clear"/>
            <w:tcMar>
              <w:top w:type="dxa" w:w="80"/>
              <w:left w:type="dxa" w:w="120"/>
              <w:bottom w:type="dxa" w:w="80"/>
              <w:right w:type="dxa" w:w="120"/>
            </w:tcMar>
          </w:tcPr>
          <w:p>
            <w:r>
              <w:rPr>
                <w:b w:val="false"/>
                <w:bCs w:val="false"/>
                <w:color w:val="3A3A3A"/>
                <w:sz w:val="20"/>
                <w:szCs w:val="20"/>
              </w:rPr>
              <w:t>Stochastic Capacity &amp; Resource Planning</w:t>
            </w:r>
          </w:p>
        </w:tc>
        <w:tc>
          <w:tcPr>
            <w:tcW w:type="dxa" w:w="5200"/>
            <w:shd w:fill="F4F6FA" w:val="clear"/>
            <w:tcMar>
              <w:top w:type="dxa" w:w="80"/>
              <w:left w:type="dxa" w:w="120"/>
              <w:bottom w:type="dxa" w:w="80"/>
              <w:right w:type="dxa" w:w="120"/>
            </w:tcMar>
          </w:tcPr>
          <w:p>
            <w:r>
              <w:rPr>
                <w:b w:val="false"/>
                <w:bCs w:val="false"/>
                <w:color w:val="3A3A3A"/>
                <w:sz w:val="20"/>
                <w:szCs w:val="20"/>
              </w:rPr>
              <w:t>Erlang queuing models · predictive overload alerts</w:t>
            </w:r>
          </w:p>
        </w:tc>
      </w:tr>
      <w:tr>
        <w:tc>
          <w:tcPr>
            <w:tcW w:type="dxa" w:w="500"/>
            <w:shd w:fill="FFFFFF" w:val="clear"/>
            <w:tcMar>
              <w:top w:type="dxa" w:w="80"/>
              <w:left w:type="dxa" w:w="120"/>
              <w:bottom w:type="dxa" w:w="80"/>
              <w:right w:type="dxa" w:w="120"/>
            </w:tcMar>
          </w:tcPr>
          <w:p>
            <w:r>
              <w:rPr>
                <w:b w:val="false"/>
                <w:bCs w:val="false"/>
                <w:color w:val="3A3A3A"/>
                <w:sz w:val="20"/>
                <w:szCs w:val="20"/>
              </w:rPr>
              <w:t>3</w:t>
            </w:r>
          </w:p>
        </w:tc>
        <w:tc>
          <w:tcPr>
            <w:tcW w:type="dxa" w:w="3800"/>
            <w:shd w:fill="FFFFFF" w:val="clear"/>
            <w:tcMar>
              <w:top w:type="dxa" w:w="80"/>
              <w:left w:type="dxa" w:w="120"/>
              <w:bottom w:type="dxa" w:w="80"/>
              <w:right w:type="dxa" w:w="120"/>
            </w:tcMar>
          </w:tcPr>
          <w:p>
            <w:r>
              <w:rPr>
                <w:b w:val="false"/>
                <w:bCs w:val="false"/>
                <w:color w:val="3A3A3A"/>
                <w:sz w:val="20"/>
                <w:szCs w:val="20"/>
              </w:rPr>
              <w:t>Risk Management &amp; Predictive Delivery</w:t>
            </w:r>
          </w:p>
        </w:tc>
        <w:tc>
          <w:tcPr>
            <w:tcW w:type="dxa" w:w="5200"/>
            <w:shd w:fill="FFFFFF" w:val="clear"/>
            <w:tcMar>
              <w:top w:type="dxa" w:w="80"/>
              <w:left w:type="dxa" w:w="120"/>
              <w:bottom w:type="dxa" w:w="80"/>
              <w:right w:type="dxa" w:w="120"/>
            </w:tcMar>
          </w:tcPr>
          <w:p>
            <w:r>
              <w:rPr>
                <w:b w:val="false"/>
                <w:bCs w:val="false"/>
                <w:color w:val="3A3A3A"/>
                <w:sz w:val="20"/>
                <w:szCs w:val="20"/>
              </w:rPr>
              <w:t>Monte Carlo simulation · survival analysis</w:t>
            </w:r>
          </w:p>
        </w:tc>
      </w:tr>
      <w:tr>
        <w:tc>
          <w:tcPr>
            <w:tcW w:type="dxa" w:w="500"/>
            <w:shd w:fill="F4F6FA" w:val="clear"/>
            <w:tcMar>
              <w:top w:type="dxa" w:w="80"/>
              <w:left w:type="dxa" w:w="120"/>
              <w:bottom w:type="dxa" w:w="80"/>
              <w:right w:type="dxa" w:w="120"/>
            </w:tcMar>
          </w:tcPr>
          <w:p>
            <w:r>
              <w:rPr>
                <w:b w:val="false"/>
                <w:bCs w:val="false"/>
                <w:color w:val="3A3A3A"/>
                <w:sz w:val="20"/>
                <w:szCs w:val="20"/>
              </w:rPr>
              <w:t>4</w:t>
            </w:r>
          </w:p>
        </w:tc>
        <w:tc>
          <w:tcPr>
            <w:tcW w:type="dxa" w:w="3800"/>
            <w:shd w:fill="F4F6FA" w:val="clear"/>
            <w:tcMar>
              <w:top w:type="dxa" w:w="80"/>
              <w:left w:type="dxa" w:w="120"/>
              <w:bottom w:type="dxa" w:w="80"/>
              <w:right w:type="dxa" w:w="120"/>
            </w:tcMar>
          </w:tcPr>
          <w:p>
            <w:r>
              <w:rPr>
                <w:b w:val="false"/>
                <w:bCs w:val="false"/>
                <w:color w:val="3A3A3A"/>
                <w:sz w:val="20"/>
                <w:szCs w:val="20"/>
              </w:rPr>
              <w:t>Operational Metrics via SPC</w:t>
            </w:r>
          </w:p>
        </w:tc>
        <w:tc>
          <w:tcPr>
            <w:tcW w:type="dxa" w:w="5200"/>
            <w:shd w:fill="F4F6FA" w:val="clear"/>
            <w:tcMar>
              <w:top w:type="dxa" w:w="80"/>
              <w:left w:type="dxa" w:w="120"/>
              <w:bottom w:type="dxa" w:w="80"/>
              <w:right w:type="dxa" w:w="120"/>
            </w:tcMar>
          </w:tcPr>
          <w:p>
            <w:r>
              <w:rPr>
                <w:b w:val="false"/>
                <w:bCs w:val="false"/>
                <w:color w:val="3A3A3A"/>
                <w:sz w:val="20"/>
                <w:szCs w:val="20"/>
              </w:rPr>
              <w:t>UCL/LCL control limits · common vs. special cause</w:t>
            </w:r>
          </w:p>
        </w:tc>
      </w:tr>
      <w:tr>
        <w:tc>
          <w:tcPr>
            <w:tcW w:type="dxa" w:w="500"/>
            <w:shd w:fill="FFFFFF" w:val="clear"/>
            <w:tcMar>
              <w:top w:type="dxa" w:w="80"/>
              <w:left w:type="dxa" w:w="120"/>
              <w:bottom w:type="dxa" w:w="80"/>
              <w:right w:type="dxa" w:w="120"/>
            </w:tcMar>
          </w:tcPr>
          <w:p>
            <w:r>
              <w:rPr>
                <w:b w:val="false"/>
                <w:bCs w:val="false"/>
                <w:color w:val="3A3A3A"/>
                <w:sz w:val="20"/>
                <w:szCs w:val="20"/>
              </w:rPr>
              <w:t>5</w:t>
            </w:r>
          </w:p>
        </w:tc>
        <w:tc>
          <w:tcPr>
            <w:tcW w:type="dxa" w:w="3800"/>
            <w:shd w:fill="FFFFFF" w:val="clear"/>
            <w:tcMar>
              <w:top w:type="dxa" w:w="80"/>
              <w:left w:type="dxa" w:w="120"/>
              <w:bottom w:type="dxa" w:w="80"/>
              <w:right w:type="dxa" w:w="120"/>
            </w:tcMar>
          </w:tcPr>
          <w:p>
            <w:r>
              <w:rPr>
                <w:b w:val="false"/>
                <w:bCs w:val="false"/>
                <w:color w:val="3A3A3A"/>
                <w:sz w:val="20"/>
                <w:szCs w:val="20"/>
              </w:rPr>
              <w:t>Talent Elevation &amp; Maturity Management</w:t>
            </w:r>
          </w:p>
        </w:tc>
        <w:tc>
          <w:tcPr>
            <w:tcW w:type="dxa" w:w="5200"/>
            <w:shd w:fill="FFFFFF" w:val="clear"/>
            <w:tcMar>
              <w:top w:type="dxa" w:w="80"/>
              <w:left w:type="dxa" w:w="120"/>
              <w:bottom w:type="dxa" w:w="80"/>
              <w:right w:type="dxa" w:w="120"/>
            </w:tcMar>
          </w:tcPr>
          <w:p>
            <w:r>
              <w:rPr>
                <w:b w:val="false"/>
                <w:bCs w:val="false"/>
                <w:color w:val="3A3A3A"/>
                <w:sz w:val="20"/>
                <w:szCs w:val="20"/>
              </w:rPr>
              <w:t>Regression-based estimation-bias profiling</w:t>
            </w:r>
          </w:p>
        </w:tc>
      </w:tr>
      <w:tr>
        <w:tc>
          <w:tcPr>
            <w:tcW w:type="dxa" w:w="500"/>
            <w:shd w:fill="F4F6FA" w:val="clear"/>
            <w:tcMar>
              <w:top w:type="dxa" w:w="80"/>
              <w:left w:type="dxa" w:w="120"/>
              <w:bottom w:type="dxa" w:w="80"/>
              <w:right w:type="dxa" w:w="120"/>
            </w:tcMar>
          </w:tcPr>
          <w:p>
            <w:r>
              <w:rPr>
                <w:b w:val="false"/>
                <w:bCs w:val="false"/>
                <w:color w:val="3A3A3A"/>
                <w:sz w:val="20"/>
                <w:szCs w:val="20"/>
              </w:rPr>
              <w:t>6</w:t>
            </w:r>
          </w:p>
        </w:tc>
        <w:tc>
          <w:tcPr>
            <w:tcW w:type="dxa" w:w="3800"/>
            <w:shd w:fill="F4F6FA" w:val="clear"/>
            <w:tcMar>
              <w:top w:type="dxa" w:w="80"/>
              <w:left w:type="dxa" w:w="120"/>
              <w:bottom w:type="dxa" w:w="80"/>
              <w:right w:type="dxa" w:w="120"/>
            </w:tcMar>
          </w:tcPr>
          <w:p>
            <w:r>
              <w:rPr>
                <w:b w:val="false"/>
                <w:bCs w:val="false"/>
                <w:color w:val="3A3A3A"/>
                <w:sz w:val="20"/>
                <w:szCs w:val="20"/>
              </w:rPr>
              <w:t>Financial Precision</w:t>
            </w:r>
          </w:p>
        </w:tc>
        <w:tc>
          <w:tcPr>
            <w:tcW w:type="dxa" w:w="5200"/>
            <w:shd w:fill="F4F6FA" w:val="clear"/>
            <w:tcMar>
              <w:top w:type="dxa" w:w="80"/>
              <w:left w:type="dxa" w:w="120"/>
              <w:bottom w:type="dxa" w:w="80"/>
              <w:right w:type="dxa" w:w="120"/>
            </w:tcMar>
          </w:tcPr>
          <w:p>
            <w:r>
              <w:rPr>
                <w:b w:val="false"/>
                <w:bCs w:val="false"/>
                <w:color w:val="3A3A3A"/>
                <w:sz w:val="20"/>
                <w:szCs w:val="20"/>
              </w:rPr>
              <w:t>Bayesian EAC/ETC · dynamic NPV/IRR confidence intervals</w:t>
            </w:r>
          </w:p>
        </w:tc>
      </w:tr>
      <w:tr>
        <w:tc>
          <w:tcPr>
            <w:tcW w:type="dxa" w:w="500"/>
            <w:shd w:fill="FFFFFF" w:val="clear"/>
            <w:tcMar>
              <w:top w:type="dxa" w:w="80"/>
              <w:left w:type="dxa" w:w="120"/>
              <w:bottom w:type="dxa" w:w="80"/>
              <w:right w:type="dxa" w:w="120"/>
            </w:tcMar>
          </w:tcPr>
          <w:p>
            <w:r>
              <w:rPr>
                <w:b w:val="false"/>
                <w:bCs w:val="false"/>
                <w:color w:val="3A3A3A"/>
                <w:sz w:val="20"/>
                <w:szCs w:val="20"/>
              </w:rPr>
              <w:t>7</w:t>
            </w:r>
          </w:p>
        </w:tc>
        <w:tc>
          <w:tcPr>
            <w:tcW w:type="dxa" w:w="3800"/>
            <w:shd w:fill="FFFFFF" w:val="clear"/>
            <w:tcMar>
              <w:top w:type="dxa" w:w="80"/>
              <w:left w:type="dxa" w:w="120"/>
              <w:bottom w:type="dxa" w:w="80"/>
              <w:right w:type="dxa" w:w="120"/>
            </w:tcMar>
          </w:tcPr>
          <w:p>
            <w:r>
              <w:rPr>
                <w:b w:val="false"/>
                <w:bCs w:val="false"/>
                <w:color w:val="3A3A3A"/>
                <w:sz w:val="20"/>
                <w:szCs w:val="20"/>
              </w:rPr>
              <w:t>Direct Business Outcome &amp; Value Realization</w:t>
            </w:r>
          </w:p>
        </w:tc>
        <w:tc>
          <w:tcPr>
            <w:tcW w:type="dxa" w:w="5200"/>
            <w:shd w:fill="FFFFFF" w:val="clear"/>
            <w:tcMar>
              <w:top w:type="dxa" w:w="80"/>
              <w:left w:type="dxa" w:w="120"/>
              <w:bottom w:type="dxa" w:w="80"/>
              <w:right w:type="dxa" w:w="120"/>
            </w:tcMar>
          </w:tcPr>
          <w:p>
            <w:r>
              <w:rPr>
                <w:b w:val="false"/>
                <w:bCs w:val="false"/>
                <w:color w:val="3A3A3A"/>
                <w:sz w:val="20"/>
                <w:szCs w:val="20"/>
              </w:rPr>
              <w:t>Outcome digital twin · causal inference</w:t>
            </w:r>
          </w:p>
        </w:tc>
      </w:tr>
    </w:tbl>
    <w:p>
      <w:pPr>
        <w:spacing w:after="200"/>
      </w:pPr>
    </w:p>
    <w:p>
      <w:pPr>
        <w:pStyle w:val="Heading2"/>
        <w:spacing w:after="120" w:before="260"/>
      </w:pPr>
      <w:r>
        <w:rPr>
          <w:b/>
          <w:bCs/>
          <w:color w:val="0B1220"/>
        </w:rPr>
        <w:t>Appendix B — Anticipated Questions</w:t>
      </w:r>
    </w:p>
    <w:p>
      <w:pPr>
        <w:pStyle w:val="Heading3"/>
        <w:spacing w:after="80" w:before="180"/>
      </w:pPr>
      <w:r>
        <w:rPr>
          <w:b/>
          <w:bCs/>
        </w:rPr>
        <w:t>“Is this connected to our real data, or is this a mockup?”</w:t>
      </w:r>
    </w:p>
    <w:p>
      <w:pPr>
        <w:spacing w:after="120"/>
      </w:pPr>
      <w:r>
        <w:t>Be direct: this is a simulated environment built to demonstrate the methodology end-to-end. A production build would connect to the same source systems already in use today (PPM tool, Jira/ADO, financial systems) — the statistical layer is what's new, not the data plumbing.</w:t>
      </w:r>
    </w:p>
    <w:p>
      <w:pPr>
        <w:pStyle w:val="Heading3"/>
        <w:spacing w:after="80" w:before="180"/>
      </w:pPr>
      <w:r>
        <w:rPr>
          <w:b/>
          <w:bCs/>
        </w:rPr>
        <w:t>“How much historical data do we need before Monte Carlo / SPC / regression are reliable?”</w:t>
      </w:r>
    </w:p>
    <w:p>
      <w:pPr>
        <w:spacing w:after="120"/>
      </w:pPr>
      <w:r>
        <w:t>Answer honestly and directionally rather than with a hard number: control limits and bias regression improve with more history, but Monte Carlo can run against estimated variance from day one and tighten as real delivery data accumulates. Offer a follow-up conversation with the data/analytics lead rather than committing to a specific threshold live.</w:t>
      </w:r>
    </w:p>
    <w:p>
      <w:pPr>
        <w:pStyle w:val="Heading3"/>
        <w:spacing w:after="80" w:before="180"/>
      </w:pPr>
      <w:r>
        <w:rPr>
          <w:b/>
          <w:bCs/>
        </w:rPr>
        <w:t>“Does this replace our PMO analysts?”</w:t>
      </w:r>
    </w:p>
    <w:p>
      <w:pPr>
        <w:spacing w:after="120"/>
      </w:pPr>
      <w:r>
        <w:t>No — it removes the manual assembly work (Act II) so analysts spend their time on judgment (Pillar 5, Pillar 7), not on the mechanics of forecasting.</w:t>
      </w:r>
    </w:p>
    <w:p>
      <w:pPr>
        <w:pStyle w:val="Heading3"/>
        <w:spacing w:after="80" w:before="180"/>
      </w:pPr>
      <w:r>
        <w:rPr>
          <w:b/>
          <w:bCs/>
        </w:rPr>
        <w:t>“What's the governance model for the automated triggers (Pillar 6)?”</w:t>
      </w:r>
    </w:p>
    <w:p>
      <w:pPr>
        <w:spacing w:after="120"/>
      </w:pPr>
      <w:r>
        <w:t>Automated workflows surface a flag and route it to a human decision-maker — they don't take action unilaterally. Useful to state explicitly if the room raises a control-and-governance concern.</w:t>
      </w:r>
    </w:p>
    <w:p>
      <w:pPr>
        <w:pStyle w:val="Heading2"/>
        <w:spacing w:after="120" w:before="260"/>
      </w:pPr>
      <w:r>
        <w:rPr>
          <w:b/>
          <w:bCs/>
          <w:color w:val="0B1220"/>
        </w:rPr>
        <w:t>Appendix C — If the Live Demo Fails</w:t>
      </w:r>
    </w:p>
    <w:p>
      <w:pPr>
        <w:pStyle w:val="ListParagraph"/>
        <w:numPr>
          <w:ilvl w:val="0"/>
          <w:numId w:val="1"/>
        </w:numPr>
        <w:spacing w:after="60"/>
      </w:pPr>
      <w:r>
        <w:t>Fall back to Slides 3–4 (7 Pillars grid + Amateur vs. Pro contrast table) and narrate the pillar content from this script without the live interaction.</w:t>
      </w:r>
    </w:p>
    <w:p>
      <w:pPr>
        <w:pStyle w:val="ListParagraph"/>
        <w:numPr>
          <w:ilvl w:val="0"/>
          <w:numId w:val="1"/>
        </w:numPr>
        <w:spacing w:after="60"/>
      </w:pPr>
      <w:r>
        <w:t>Do not attempt to debug on screen for more than 15–20 seconds — acknowledge it once, pivot to slides, and offer to follow up with a recorded walkthrough.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D8DEE9" w:sz="6" w:space="6"/>
      </w:pBdr>
      <w:spacing w:after="180" w:before="360"/>
    </w:pPr>
    <w:rPr>
      <w:rFonts w:ascii="Cambria" w:cs="Cambria" w:eastAsia="Cambria" w:hAnsi="Cambria"/>
      <w:b/>
      <w:bCs/>
      <w:color w:val="0B1220"/>
      <w:sz w:val="34"/>
      <w:szCs w:val="34"/>
    </w:rPr>
  </w:style>
  <w:style w:type="paragraph" w:styleId="Heading2">
    <w:name w:val="Heading 2"/>
    <w:basedOn w:val="Normal"/>
    <w:next w:val="Normal"/>
    <w:rPr>
      <w:rFonts w:ascii="Cambria" w:cs="Cambria" w:eastAsia="Cambria" w:hAnsi="Cambria"/>
      <w:b/>
      <w:bCs/>
      <w:sz w:val="26"/>
      <w:szCs w:val="26"/>
    </w:rPr>
  </w:style>
  <w:style w:type="paragraph" w:styleId="Heading3">
    <w:name w:val="Heading 3"/>
    <w:basedOn w:val="Normal"/>
    <w:next w:val="Normal"/>
    <w:rPr>
      <w:rFonts w:ascii="Calibri" w:cs="Calibri" w:eastAsia="Calibri" w:hAnsi="Calibri"/>
      <w:b/>
      <w:bCs/>
      <w:color w:val="0E8C79"/>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2026-07-01T22:34:52.998Z</dcterms:created>
  <dcterms:modified xsi:type="dcterms:W3CDTF">2026-07-01T22:34:52.998Z</dcterms:modified>
</cp:coreProperties>
</file>

<file path=docProps/custom.xml><?xml version="1.0" encoding="utf-8"?>
<Properties xmlns="http://schemas.openxmlformats.org/officeDocument/2006/custom-properties" xmlns:vt="http://schemas.openxmlformats.org/officeDocument/2006/docPropsVTypes"/>
</file>