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1F3864"/>
          <w:sz w:val="40"/>
          <w:szCs w:val="40"/>
        </w:rPr>
        <w:t xml:space="preserve">BİYOLOJİK GÖRÜ MODELLERİ</w:t>
      </w:r>
    </w:p>
    <w:p>
      <w:pPr>
        <w:spacing w:after="240"/>
        <w:jc w:val="center"/>
      </w:pPr>
      <w:r>
        <w:rPr>
          <w:color w:val="2E5496"/>
          <w:sz w:val="26"/>
          <w:szCs w:val="26"/>
        </w:rPr>
        <w:t xml:space="preserve">Deney Ortamları ve Component–Question İlişkisi</w:t>
      </w:r>
    </w:p>
    <w:p>
      <w:pPr>
        <w:spacing w:after="40"/>
        <w:jc w:val="center"/>
      </w:pPr>
      <w:r>
        <w:rPr>
          <w:i/>
          <w:iCs/>
          <w:color w:val="595959"/>
          <w:sz w:val="18"/>
          <w:szCs w:val="18"/>
        </w:rPr>
        <w:t xml:space="preserve">Attention-Driven Foveation · V1 Front-End · Recurrent Ventral Stream · IT-Feedback</w:t>
      </w:r>
    </w:p>
    <w:p>
      <w:pPr>
        <w:spacing w:after="40" w:before="40"/>
        <w:jc w:val="center"/>
      </w:pPr>
      <w:r>
        <w:rPr>
          <w:i/>
          <w:iCs/>
          <w:color w:val="C55A11"/>
          <w:sz w:val="18"/>
          <w:szCs w:val="18"/>
        </w:rPr>
        <w:t xml:space="preserve">Original contribution: Trace-Based Metameric Peripheral Noise (Watson-based SNR)</w:t>
      </w:r>
    </w:p>
    <w:p>
      <w:pPr>
        <w:spacing w:after="20" w:before="500"/>
        <w:jc w:val="center"/>
      </w:pPr>
      <w:r>
        <w:rPr>
          <w:color w:val="222222"/>
          <w:sz w:val="20"/>
          <w:szCs w:val="20"/>
        </w:rPr>
        <w:t xml:space="preserve">Tez danışmanı toplantısı için ara durum notu</w:t>
      </w:r>
    </w:p>
    <w:p>
      <w:pPr>
        <w:spacing w:after="20"/>
        <w:jc w:val="center"/>
      </w:pPr>
      <w:r>
        <w:rPr>
          <w:color w:val="595959"/>
          <w:sz w:val="18"/>
          <w:szCs w:val="18"/>
        </w:rPr>
        <w:t xml:space="preserve">Resul Levent Kuru · Boğaziçi Üniversitesi</w:t>
      </w:r>
    </w:p>
    <w:p>
      <w:pPr>
        <w:jc w:val="center"/>
      </w:pPr>
      <w:r>
        <w:rPr>
          <w:color w:val="595959"/>
          <w:sz w:val="18"/>
          <w:szCs w:val="18"/>
        </w:rPr>
        <w:t xml:space="preserve">14 Temmuz 2026</w:t>
      </w:r>
    </w:p>
    <w:p>
      <w:r>
        <w:br w:type="page"/>
      </w:r>
    </w:p>
    <w:p>
      <w:pPr>
        <w:pStyle w:val="Heading1"/>
        <w:spacing w:after="140" w:before="320"/>
      </w:pPr>
      <w:r>
        <w:rPr>
          <w:b/>
          <w:bCs/>
          <w:color w:val="1F3864"/>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rPr>
        <w:t xml:space="preserve">1. Yönetici Özeti</w:t>
      </w:r>
    </w:p>
    <w:p>
      <w:pPr>
        <w:spacing w:after="120" w:line="276"/>
      </w:pPr>
      <w:r>
        <w:rPr>
          <w:color w:val="222222"/>
          <w:sz w:val="21"/>
          <w:szCs w:val="21"/>
        </w:rPr>
        <w:t xml:space="preserve">Bu çalışmanın amacı, insan görme sisteminin işleyişini adım adım taklit eden bir vision model kurmak ve modelin her bir parçasının robustness ve brain-alignment katkısını izole ederek ölçmektir. Model, birbirinden bağımsız olarak toggle edilebilen beş component’tan oluşur: foveation (C1), peripheral representation (C2), V1 front-end (C3), ventral back-end (C4) ve IT-feedback loop (C5).</w:t>
      </w:r>
    </w:p>
    <w:p>
      <w:pPr>
        <w:spacing w:after="120" w:line="276"/>
      </w:pPr>
      <w:r>
        <w:rPr>
          <w:color w:val="222222"/>
          <w:sz w:val="21"/>
          <w:szCs w:val="21"/>
        </w:rPr>
        <w:t xml:space="preserve">Tezin original contribution’ı, peripheral vision’ı keyfi bir "blur intensity" yerine, insan retina anatomisine (Watson 2014, mRGC density) dayanan bir signal-to-noise ratio (SNR) profiliyle modelleyen </w:t>
      </w:r>
      <w:r>
        <w:rPr>
          <w:i/>
          <w:iCs/>
          <w:color w:val="222222"/>
          <w:sz w:val="21"/>
          <w:szCs w:val="21"/>
        </w:rPr>
        <w:t xml:space="preserve">trace-based metameric peripheral noise</w:t>
      </w:r>
      <w:r>
        <w:rPr>
          <w:color w:val="222222"/>
          <w:sz w:val="21"/>
          <w:szCs w:val="21"/>
        </w:rPr>
        <w:t xml:space="preserve"> mekanizmasıdır. Ayrıca her koşul yalnızca accuracy ile değil, representational geometry ile de (MFTMA manifold capacity) sertifikalanır.</w:t>
      </w:r>
    </w:p>
    <w:p>
      <w:pPr>
        <w:spacing w:after="120" w:line="276"/>
      </w:pPr>
      <w:r>
        <w:rPr>
          <w:color w:val="222222"/>
          <w:sz w:val="21"/>
          <w:szCs w:val="21"/>
        </w:rPr>
        <w:t xml:space="preserve">Mevcut durum: Tüm deney altyapısı (00–07 numaralı yedi notebook, paylaşılan src/ modülleri, override katmanı, data/metric pipeline) kuruldu ve uçtan uca smoke-test modunda doğrulandı. Bu aşamada raporlanan sayılar randomly-initialized modeller ve synthetic data üzerinden üretildiği için scientific result değil, yalnızca pipeline’ın çalıştığının kanıtıdır. Bir sonraki aşama, aynı pipeline’ı pretrained weights ve CIFAR-10 → ImageNet verisiyle çalıştırıp gerçek metrikleri toplamaktır.</w:t>
      </w:r>
    </w:p>
    <w:p>
      <w:pPr>
        <w:pStyle w:val="Heading1"/>
        <w:spacing w:after="140" w:before="320"/>
      </w:pPr>
      <w:r>
        <w:rPr>
          <w:b/>
          <w:bCs/>
          <w:color w:val="1F3864"/>
        </w:rPr>
        <w:t xml:space="preserve">2. Research Question ve Thesis Claim</w:t>
      </w:r>
    </w:p>
    <w:p>
      <w:pPr>
        <w:spacing w:after="120" w:line="276"/>
      </w:pPr>
      <w:r>
        <w:rPr>
          <w:color w:val="222222"/>
          <w:sz w:val="21"/>
          <w:szCs w:val="21"/>
        </w:rPr>
        <w:t xml:space="preserve">Deep vision network’leri yüksek accuracy elde etse de, insan görüşünün doğal olarak sahip olduğu iki özellikten yoksundur: input perturbation’lara robustness ve neural representation’lara benzerlik (brain-alignment). Bu tez, human visual pathway’in bilinen anatomik ve fonksiyonel yapı taşlarını (foveation, peripheral statistical summarization, V1 Gabor + neural noise, ventral stream’deki recurrence ve IT-feedback) tek bir mimaride birleştirmenin bu iki açığı kapatacağını savunur.</w:t>
      </w:r>
    </w:p>
    <w:p>
      <w:pPr>
        <w:spacing w:after="120" w:line="276"/>
      </w:pPr>
      <w:r>
        <w:rPr>
          <w:color w:val="222222"/>
          <w:sz w:val="21"/>
          <w:szCs w:val="21"/>
        </w:rPr>
        <w:t xml:space="preserve">Thesis claim: Component’lar </w:t>
      </w:r>
      <w:r>
        <w:rPr>
          <w:i/>
          <w:iCs/>
          <w:color w:val="222222"/>
          <w:sz w:val="21"/>
          <w:szCs w:val="21"/>
        </w:rPr>
        <w:t xml:space="preserve">synergistic</w:t>
      </w:r>
      <w:r>
        <w:rPr>
          <w:color w:val="222222"/>
          <w:sz w:val="21"/>
          <w:szCs w:val="21"/>
        </w:rPr>
        <w:t xml:space="preserve"> katkı sağlar — her biri tek başına partial bir kazanç verirken, birlikte kullanıldıklarında robustness ve brain-alignment, parçaların toplamından fazlasına ulaşır. Bu iddia leave-one-out ablation ile (her component’ı tek tek çıkarıp marginal contribution’ı ölçmek) doğrudan test edilir.</w:t>
      </w:r>
    </w:p>
    <w:p>
      <w:pPr>
        <w:pStyle w:val="Heading1"/>
        <w:spacing w:after="140" w:before="320"/>
      </w:pPr>
      <w:r>
        <w:rPr>
          <w:b/>
          <w:bCs/>
          <w:color w:val="1F3864"/>
        </w:rPr>
        <w:t xml:space="preserve">3. Architecture: Beş Component ve Biyolojik Karşılıkları</w:t>
      </w:r>
    </w:p>
    <w:p>
      <w:pPr>
        <w:spacing w:after="120" w:line="276"/>
      </w:pPr>
      <w:r>
        <w:rPr>
          <w:color w:val="222222"/>
          <w:sz w:val="21"/>
          <w:szCs w:val="21"/>
        </w:rPr>
        <w:t xml:space="preserve">Model, human visual pathway’i girişten çıkışa izleyen bir işlem hattıdır. Her component tek bir override flag ile toggle edilebildiği için, aynı kod tabanı hem full model’i hem de her ablation variant’ını üretebilir.</w:t>
      </w:r>
    </w:p>
    <w:p>
      <w:pPr>
        <w:spacing w:after="40"/>
      </w:pPr>
    </w:p>
    <w:tbl>
      <w:tblPr>
        <w:tblW w:type="dxa" w:w="8600"/>
        <w:tblBorders>
          <w:top w:val="single" w:color="BBBBBB" w:sz="4"/>
          <w:left w:val="single" w:color="BBBBBB" w:sz="4"/>
          <w:bottom w:val="single" w:color="BBBBBB" w:sz="4"/>
          <w:right w:val="single" w:color="BBBBBB" w:sz="4"/>
          <w:insideH w:val="single" w:color="DDDDDD" w:sz="2"/>
          <w:insideV w:val="single" w:color="DDDDDD" w:sz="2"/>
        </w:tblBorders>
      </w:tblPr>
      <w:tblGrid>
        <w:gridCol w:w="780"/>
        <w:gridCol w:w="2050"/>
        <w:gridCol w:w="2600"/>
        <w:gridCol w:w="3170"/>
      </w:tblGrid>
      <w:tr>
        <w:trPr>
          <w:tblHeader/>
        </w:trPr>
        <w:tc>
          <w:tcPr>
            <w:tcW w:type="dxa" w:w="780"/>
            <w:shd w:fill="1F3864" w:color="auto" w:val="clear"/>
            <w:tcMar>
              <w:top w:type="dxa" w:w="55"/>
              <w:left w:type="dxa" w:w="90"/>
              <w:bottom w:type="dxa" w:w="55"/>
              <w:right w:type="dxa" w:w="90"/>
            </w:tcMar>
          </w:tcPr>
          <w:p>
            <w:pPr>
              <w:spacing w:after="0" w:line="250"/>
              <w:jc w:val="left"/>
            </w:pPr>
            <w:r>
              <w:rPr>
                <w:b/>
                <w:bCs/>
                <w:color w:val="FFFFFF"/>
                <w:sz w:val="19"/>
                <w:szCs w:val="19"/>
              </w:rPr>
              <w:t xml:space="preserve">Component</w:t>
            </w:r>
          </w:p>
        </w:tc>
        <w:tc>
          <w:tcPr>
            <w:tcW w:type="dxa" w:w="2050"/>
            <w:shd w:fill="1F3864" w:color="auto" w:val="clear"/>
            <w:tcMar>
              <w:top w:type="dxa" w:w="55"/>
              <w:left w:type="dxa" w:w="90"/>
              <w:bottom w:type="dxa" w:w="55"/>
              <w:right w:type="dxa" w:w="90"/>
            </w:tcMar>
          </w:tcPr>
          <w:p>
            <w:pPr>
              <w:spacing w:after="0" w:line="250"/>
              <w:jc w:val="left"/>
            </w:pPr>
            <w:r>
              <w:rPr>
                <w:b/>
                <w:bCs/>
                <w:color w:val="FFFFFF"/>
                <w:sz w:val="19"/>
                <w:szCs w:val="19"/>
              </w:rPr>
              <w:t xml:space="preserve">Model karşılığı</w:t>
            </w:r>
          </w:p>
        </w:tc>
        <w:tc>
          <w:tcPr>
            <w:tcW w:type="dxa" w:w="2600"/>
            <w:shd w:fill="1F3864" w:color="auto" w:val="clear"/>
            <w:tcMar>
              <w:top w:type="dxa" w:w="55"/>
              <w:left w:type="dxa" w:w="90"/>
              <w:bottom w:type="dxa" w:w="55"/>
              <w:right w:type="dxa" w:w="90"/>
            </w:tcMar>
          </w:tcPr>
          <w:p>
            <w:pPr>
              <w:spacing w:after="0" w:line="250"/>
              <w:jc w:val="left"/>
            </w:pPr>
            <w:r>
              <w:rPr>
                <w:b/>
                <w:bCs/>
                <w:color w:val="FFFFFF"/>
                <w:sz w:val="19"/>
                <w:szCs w:val="19"/>
              </w:rPr>
              <w:t xml:space="preserve">Biological basis</w:t>
            </w:r>
          </w:p>
        </w:tc>
        <w:tc>
          <w:tcPr>
            <w:tcW w:type="dxa" w:w="3170"/>
            <w:shd w:fill="1F3864" w:color="auto" w:val="clear"/>
            <w:tcMar>
              <w:top w:type="dxa" w:w="55"/>
              <w:left w:type="dxa" w:w="90"/>
              <w:bottom w:type="dxa" w:w="55"/>
              <w:right w:type="dxa" w:w="90"/>
            </w:tcMar>
          </w:tcPr>
          <w:p>
            <w:pPr>
              <w:spacing w:after="0" w:line="250"/>
              <w:jc w:val="left"/>
            </w:pPr>
            <w:r>
              <w:rPr>
                <w:b/>
                <w:bCs/>
                <w:color w:val="FFFFFF"/>
                <w:sz w:val="19"/>
                <w:szCs w:val="19"/>
              </w:rPr>
              <w:t xml:space="preserve">Expected contribution</w:t>
            </w:r>
          </w:p>
        </w:tc>
      </w:tr>
      <w:tr>
        <w:tc>
          <w:tcPr>
            <w:tcW w:type="dxa" w:w="780"/>
            <w:shd w:fill="FFFFFF" w:color="auto" w:val="clear"/>
            <w:tcMar>
              <w:top w:type="dxa" w:w="55"/>
              <w:left w:type="dxa" w:w="90"/>
              <w:bottom w:type="dxa" w:w="55"/>
              <w:right w:type="dxa" w:w="90"/>
            </w:tcMar>
          </w:tcPr>
          <w:p>
            <w:pPr>
              <w:spacing w:after="0" w:line="250"/>
              <w:jc w:val="left"/>
            </w:pPr>
            <w:r>
              <w:rPr>
                <w:color w:val="1F3864"/>
                <w:sz w:val="18"/>
                <w:szCs w:val="18"/>
              </w:rPr>
              <w:t xml:space="preserve">C1</w:t>
            </w:r>
          </w:p>
        </w:tc>
        <w:tc>
          <w:tcPr>
            <w:tcW w:type="dxa" w:w="2050"/>
            <w:shd w:fill="FFFFFF" w:color="auto" w:val="clear"/>
            <w:tcMar>
              <w:top w:type="dxa" w:w="55"/>
              <w:left w:type="dxa" w:w="90"/>
              <w:bottom w:type="dxa" w:w="55"/>
              <w:right w:type="dxa" w:w="90"/>
            </w:tcMar>
          </w:tcPr>
          <w:p>
            <w:pPr>
              <w:spacing w:after="0" w:line="250"/>
              <w:jc w:val="left"/>
            </w:pPr>
            <w:r>
              <w:rPr>
                <w:color w:val="222222"/>
                <w:sz w:val="18"/>
                <w:szCs w:val="18"/>
              </w:rPr>
              <w:t xml:space="preserve">R-Blur foveal warp (spatial acuity)</w:t>
            </w:r>
          </w:p>
        </w:tc>
        <w:tc>
          <w:tcPr>
            <w:tcW w:type="dxa" w:w="2600"/>
            <w:shd w:fill="FFFFFF" w:color="auto" w:val="clear"/>
            <w:tcMar>
              <w:top w:type="dxa" w:w="55"/>
              <w:left w:type="dxa" w:w="90"/>
              <w:bottom w:type="dxa" w:w="55"/>
              <w:right w:type="dxa" w:w="90"/>
            </w:tcMar>
          </w:tcPr>
          <w:p>
            <w:pPr>
              <w:spacing w:after="0" w:line="250"/>
              <w:jc w:val="left"/>
            </w:pPr>
            <w:r>
              <w:rPr>
                <w:color w:val="222222"/>
                <w:sz w:val="18"/>
                <w:szCs w:val="18"/>
              </w:rPr>
              <w:t xml:space="preserve">Fovea–periphery resolution gradient; retinal sampling</w:t>
            </w:r>
          </w:p>
        </w:tc>
        <w:tc>
          <w:tcPr>
            <w:tcW w:type="dxa" w:w="3170"/>
            <w:shd w:fill="FFFFFF" w:color="auto" w:val="clear"/>
            <w:tcMar>
              <w:top w:type="dxa" w:w="55"/>
              <w:left w:type="dxa" w:w="90"/>
              <w:bottom w:type="dxa" w:w="55"/>
              <w:right w:type="dxa" w:w="90"/>
            </w:tcMar>
          </w:tcPr>
          <w:p>
            <w:pPr>
              <w:spacing w:after="0" w:line="250"/>
              <w:jc w:val="left"/>
            </w:pPr>
            <w:r>
              <w:rPr>
                <w:color w:val="222222"/>
                <w:sz w:val="18"/>
                <w:szCs w:val="18"/>
              </w:rPr>
              <w:t xml:space="preserve">Efficiency + small/occluded object accuracy</w:t>
            </w:r>
          </w:p>
        </w:tc>
      </w:tr>
      <w:tr>
        <w:tc>
          <w:tcPr>
            <w:tcW w:type="dxa" w:w="780"/>
            <w:shd w:fill="E8EEF7" w:color="auto" w:val="clear"/>
            <w:tcMar>
              <w:top w:type="dxa" w:w="55"/>
              <w:left w:type="dxa" w:w="90"/>
              <w:bottom w:type="dxa" w:w="55"/>
              <w:right w:type="dxa" w:w="90"/>
            </w:tcMar>
          </w:tcPr>
          <w:p>
            <w:pPr>
              <w:spacing w:after="0" w:line="250"/>
              <w:jc w:val="left"/>
            </w:pPr>
            <w:r>
              <w:rPr>
                <w:color w:val="C55A11"/>
                <w:sz w:val="18"/>
                <w:szCs w:val="18"/>
              </w:rPr>
              <w:t xml:space="preserve">C2</w:t>
            </w:r>
          </w:p>
        </w:tc>
        <w:tc>
          <w:tcPr>
            <w:tcW w:type="dxa" w:w="2050"/>
            <w:shd w:fill="E8EEF7" w:color="auto" w:val="clear"/>
            <w:tcMar>
              <w:top w:type="dxa" w:w="55"/>
              <w:left w:type="dxa" w:w="90"/>
              <w:bottom w:type="dxa" w:w="55"/>
              <w:right w:type="dxa" w:w="90"/>
            </w:tcMar>
          </w:tcPr>
          <w:p>
            <w:pPr>
              <w:spacing w:after="0" w:line="250"/>
              <w:jc w:val="left"/>
            </w:pPr>
            <w:r>
              <w:rPr>
                <w:color w:val="222222"/>
                <w:sz w:val="18"/>
                <w:szCs w:val="18"/>
              </w:rPr>
              <w:t xml:space="preserve">Trace-based metameric periphery </w:t>
            </w:r>
            <t>(original)</t>
          </w:p>
        </w:tc>
        <w:tc>
          <w:tcPr>
            <w:tcW w:type="dxa" w:w="2600"/>
            <w:shd w:fill="E8EEF7" w:color="auto" w:val="clear"/>
            <w:tcMar>
              <w:top w:type="dxa" w:w="55"/>
              <w:left w:type="dxa" w:w="90"/>
              <w:bottom w:type="dxa" w:w="55"/>
              <w:right w:type="dxa" w:w="90"/>
            </w:tcMar>
          </w:tcPr>
          <w:p>
            <w:pPr>
              <w:spacing w:after="0" w:line="250"/>
              <w:jc w:val="left"/>
            </w:pPr>
            <w:r>
              <w:rPr>
                <w:color w:val="222222"/>
                <w:sz w:val="18"/>
                <w:szCs w:val="18"/>
              </w:rPr>
              <w:t xml:space="preserve">Peripheral metamers: local summary statistics preserved (Watson 2014 mRGC)</w:t>
            </w:r>
          </w:p>
        </w:tc>
        <w:tc>
          <w:tcPr>
            <w:tcW w:type="dxa" w:w="3170"/>
            <w:shd w:fill="E8EEF7" w:color="auto" w:val="clear"/>
            <w:tcMar>
              <w:top w:type="dxa" w:w="55"/>
              <w:left w:type="dxa" w:w="90"/>
              <w:bottom w:type="dxa" w:w="55"/>
              <w:right w:type="dxa" w:w="90"/>
            </w:tcMar>
          </w:tcPr>
          <w:p>
            <w:pPr>
              <w:spacing w:after="0" w:line="250"/>
              <w:jc w:val="left"/>
            </w:pPr>
            <w:r>
              <w:rPr>
                <w:color w:val="222222"/>
                <w:sz w:val="18"/>
                <w:szCs w:val="18"/>
              </w:rPr>
              <w:t xml:space="preserve">Brain-alignment + robustness (equal SNR’de bile)</w:t>
            </w:r>
          </w:p>
        </w:tc>
      </w:tr>
      <w:tr>
        <w:tc>
          <w:tcPr>
            <w:tcW w:type="dxa" w:w="780"/>
            <w:shd w:fill="FFFFFF" w:color="auto" w:val="clear"/>
            <w:tcMar>
              <w:top w:type="dxa" w:w="55"/>
              <w:left w:type="dxa" w:w="90"/>
              <w:bottom w:type="dxa" w:w="55"/>
              <w:right w:type="dxa" w:w="90"/>
            </w:tcMar>
          </w:tcPr>
          <w:p>
            <w:pPr>
              <w:spacing w:after="0" w:line="250"/>
              <w:jc w:val="left"/>
            </w:pPr>
            <w:r>
              <w:rPr>
                <w:color w:val="1F3864"/>
                <w:sz w:val="18"/>
                <w:szCs w:val="18"/>
              </w:rPr>
              <w:t xml:space="preserve">C3</w:t>
            </w:r>
          </w:p>
        </w:tc>
        <w:tc>
          <w:tcPr>
            <w:tcW w:type="dxa" w:w="2050"/>
            <w:shd w:fill="FFFFFF" w:color="auto" w:val="clear"/>
            <w:tcMar>
              <w:top w:type="dxa" w:w="55"/>
              <w:left w:type="dxa" w:w="90"/>
              <w:bottom w:type="dxa" w:w="55"/>
              <w:right w:type="dxa" w:w="90"/>
            </w:tcMar>
          </w:tcPr>
          <w:p>
            <w:pPr>
              <w:spacing w:after="0" w:line="250"/>
              <w:jc w:val="left"/>
            </w:pPr>
            <w:r>
              <w:rPr>
                <w:color w:val="222222"/>
                <w:sz w:val="18"/>
                <w:szCs w:val="18"/>
              </w:rPr>
              <w:t xml:space="preserve">VOneBlock: Gabor bank + Poisson noise</w:t>
            </w:r>
          </w:p>
        </w:tc>
        <w:tc>
          <w:tcPr>
            <w:tcW w:type="dxa" w:w="2600"/>
            <w:shd w:fill="FFFFFF" w:color="auto" w:val="clear"/>
            <w:tcMar>
              <w:top w:type="dxa" w:w="55"/>
              <w:left w:type="dxa" w:w="90"/>
              <w:bottom w:type="dxa" w:w="55"/>
              <w:right w:type="dxa" w:w="90"/>
            </w:tcMar>
          </w:tcPr>
          <w:p>
            <w:pPr>
              <w:spacing w:after="0" w:line="250"/>
              <w:jc w:val="left"/>
            </w:pPr>
            <w:r>
              <w:rPr>
                <w:color w:val="222222"/>
                <w:sz w:val="18"/>
                <w:szCs w:val="18"/>
              </w:rPr>
              <w:t xml:space="preserve">Primary visual cortex V1: simple/complex cells, neural stochasticity</w:t>
            </w:r>
          </w:p>
        </w:tc>
        <w:tc>
          <w:tcPr>
            <w:tcW w:type="dxa" w:w="3170"/>
            <w:shd w:fill="FFFFFF" w:color="auto" w:val="clear"/>
            <w:tcMar>
              <w:top w:type="dxa" w:w="55"/>
              <w:left w:type="dxa" w:w="90"/>
              <w:bottom w:type="dxa" w:w="55"/>
              <w:right w:type="dxa" w:w="90"/>
            </w:tcMar>
          </w:tcPr>
          <w:p>
            <w:pPr>
              <w:spacing w:after="0" w:line="250"/>
              <w:jc w:val="left"/>
            </w:pPr>
            <w:r>
              <w:rPr>
                <w:color w:val="222222"/>
                <w:sz w:val="18"/>
                <w:szCs w:val="18"/>
              </w:rPr>
              <w:t xml:space="preserve">Adversarial robustness (EOT ile)</w:t>
            </w:r>
          </w:p>
        </w:tc>
      </w:tr>
      <w:tr>
        <w:tc>
          <w:tcPr>
            <w:tcW w:type="dxa" w:w="780"/>
            <w:shd w:fill="E8EEF7" w:color="auto" w:val="clear"/>
            <w:tcMar>
              <w:top w:type="dxa" w:w="55"/>
              <w:left w:type="dxa" w:w="90"/>
              <w:bottom w:type="dxa" w:w="55"/>
              <w:right w:type="dxa" w:w="90"/>
            </w:tcMar>
          </w:tcPr>
          <w:p>
            <w:pPr>
              <w:spacing w:after="0" w:line="250"/>
              <w:jc w:val="left"/>
            </w:pPr>
            <w:r>
              <w:rPr>
                <w:color w:val="1F3864"/>
                <w:sz w:val="18"/>
                <w:szCs w:val="18"/>
              </w:rPr>
              <w:t xml:space="preserve">C4</w:t>
            </w:r>
          </w:p>
        </w:tc>
        <w:tc>
          <w:tcPr>
            <w:tcW w:type="dxa" w:w="2050"/>
            <w:shd w:fill="E8EEF7" w:color="auto" w:val="clear"/>
            <w:tcMar>
              <w:top w:type="dxa" w:w="55"/>
              <w:left w:type="dxa" w:w="90"/>
              <w:bottom w:type="dxa" w:w="55"/>
              <w:right w:type="dxa" w:w="90"/>
            </w:tcMar>
          </w:tcPr>
          <w:p>
            <w:pPr>
              <w:spacing w:after="0" w:line="250"/>
              <w:jc w:val="left"/>
            </w:pPr>
            <w:r>
              <w:rPr>
                <w:color w:val="222222"/>
                <w:sz w:val="18"/>
                <w:szCs w:val="18"/>
              </w:rPr>
              <w:t xml:space="preserve">ResNet-50 (main) / CORnet-S (recurrent ref.)</w:t>
            </w:r>
          </w:p>
        </w:tc>
        <w:tc>
          <w:tcPr>
            <w:tcW w:type="dxa" w:w="2600"/>
            <w:shd w:fill="E8EEF7" w:color="auto" w:val="clear"/>
            <w:tcMar>
              <w:top w:type="dxa" w:w="55"/>
              <w:left w:type="dxa" w:w="90"/>
              <w:bottom w:type="dxa" w:w="55"/>
              <w:right w:type="dxa" w:w="90"/>
            </w:tcMar>
          </w:tcPr>
          <w:p>
            <w:pPr>
              <w:spacing w:after="0" w:line="250"/>
              <w:jc w:val="left"/>
            </w:pPr>
            <w:r>
              <w:rPr>
                <w:color w:val="222222"/>
                <w:sz w:val="18"/>
                <w:szCs w:val="18"/>
              </w:rPr>
              <w:t xml:space="preserve">Ventral stream (V2–V4–IT); residual ≈ unrolled recurrence</w:t>
            </w:r>
          </w:p>
        </w:tc>
        <w:tc>
          <w:tcPr>
            <w:tcW w:type="dxa" w:w="3170"/>
            <w:shd w:fill="E8EEF7" w:color="auto" w:val="clear"/>
            <w:tcMar>
              <w:top w:type="dxa" w:w="55"/>
              <w:left w:type="dxa" w:w="90"/>
              <w:bottom w:type="dxa" w:w="55"/>
              <w:right w:type="dxa" w:w="90"/>
            </w:tcMar>
          </w:tcPr>
          <w:p>
            <w:pPr>
              <w:spacing w:after="0" w:line="250"/>
              <w:jc w:val="left"/>
            </w:pPr>
            <w:r>
              <w:rPr>
                <w:color w:val="222222"/>
                <w:sz w:val="18"/>
                <w:szCs w:val="18"/>
              </w:rPr>
              <w:t xml:space="preserve">Brain-Score V4/IT + scale</w:t>
            </w:r>
          </w:p>
        </w:tc>
      </w:tr>
      <w:tr>
        <w:tc>
          <w:tcPr>
            <w:tcW w:type="dxa" w:w="780"/>
            <w:shd w:fill="FFFFFF" w:color="auto" w:val="clear"/>
            <w:tcMar>
              <w:top w:type="dxa" w:w="55"/>
              <w:left w:type="dxa" w:w="90"/>
              <w:bottom w:type="dxa" w:w="55"/>
              <w:right w:type="dxa" w:w="90"/>
            </w:tcMar>
          </w:tcPr>
          <w:p>
            <w:pPr>
              <w:spacing w:after="0" w:line="250"/>
              <w:jc w:val="left"/>
            </w:pPr>
            <w:r>
              <w:rPr>
                <w:color w:val="1F3864"/>
                <w:sz w:val="18"/>
                <w:szCs w:val="18"/>
              </w:rPr>
              <w:t xml:space="preserve">C5</w:t>
            </w:r>
          </w:p>
        </w:tc>
        <w:tc>
          <w:tcPr>
            <w:tcW w:type="dxa" w:w="2050"/>
            <w:shd w:fill="FFFFFF" w:color="auto" w:val="clear"/>
            <w:tcMar>
              <w:top w:type="dxa" w:w="55"/>
              <w:left w:type="dxa" w:w="90"/>
              <w:bottom w:type="dxa" w:w="55"/>
              <w:right w:type="dxa" w:w="90"/>
            </w:tcMar>
          </w:tcPr>
          <w:p>
            <w:pPr>
              <w:spacing w:after="0" w:line="250"/>
              <w:jc w:val="left"/>
            </w:pPr>
            <w:r>
              <w:rPr>
                <w:color w:val="222222"/>
                <w:sz w:val="18"/>
                <w:szCs w:val="18"/>
              </w:rPr>
              <w:t xml:space="preserve">Multi-glance loop + halting</w:t>
            </w:r>
          </w:p>
        </w:tc>
        <w:tc>
          <w:tcPr>
            <w:tcW w:type="dxa" w:w="2600"/>
            <w:shd w:fill="FFFFFF" w:color="auto" w:val="clear"/>
            <w:tcMar>
              <w:top w:type="dxa" w:w="55"/>
              <w:left w:type="dxa" w:w="90"/>
              <w:bottom w:type="dxa" w:w="55"/>
              <w:right w:type="dxa" w:w="90"/>
            </w:tcMar>
          </w:tcPr>
          <w:p>
            <w:pPr>
              <w:spacing w:after="0" w:line="250"/>
              <w:jc w:val="left"/>
            </w:pPr>
            <w:r>
              <w:rPr>
                <w:color w:val="222222"/>
                <w:sz w:val="18"/>
                <w:szCs w:val="18"/>
              </w:rPr>
              <w:t xml:space="preserve">IT→early-area feedback; saccadic fixation</w:t>
            </w:r>
          </w:p>
        </w:tc>
        <w:tc>
          <w:tcPr>
            <w:tcW w:type="dxa" w:w="3170"/>
            <w:shd w:fill="FFFFFF" w:color="auto" w:val="clear"/>
            <w:tcMar>
              <w:top w:type="dxa" w:w="55"/>
              <w:left w:type="dxa" w:w="90"/>
              <w:bottom w:type="dxa" w:w="55"/>
              <w:right w:type="dxa" w:w="90"/>
            </w:tcMar>
          </w:tcPr>
          <w:p>
            <w:pPr>
              <w:spacing w:after="0" w:line="250"/>
              <w:jc w:val="left"/>
            </w:pPr>
            <w:r>
              <w:rPr>
                <w:color w:val="222222"/>
                <w:sz w:val="18"/>
                <w:szCs w:val="18"/>
              </w:rPr>
              <w:t xml:space="preserve">Adaptive compute + hard-example accuracy</w:t>
            </w:r>
          </w:p>
        </w:tc>
      </w:tr>
    </w:tbl>
    <w:p>
      <w:pPr>
        <w:spacing w:after="60"/>
      </w:pPr>
    </w:p>
    <w:p>
      <w:pPr>
        <w:spacing w:after="120" w:line="276"/>
      </w:pPr>
      <w:r>
        <w:rPr>
          <w:color w:val="222222"/>
          <w:sz w:val="21"/>
          <w:szCs w:val="21"/>
        </w:rPr>
        <w:t xml:space="preserve">Full model = C1(R-Blur) + C2(trace-based) + C3(VOneBlock, Poisson on) + C4(ResNet-50) + C5(multi-glance + confidence halting). Bu, ablation’ların ölçüldüğü reference point’tir.</w:t>
      </w:r>
    </w:p>
    <w:p>
      <w:pPr>
        <w:pStyle w:val="Heading1"/>
        <w:spacing w:after="140" w:before="320"/>
      </w:pPr>
      <w:r>
        <w:rPr>
          <w:b/>
          <w:bCs/>
          <w:color w:val="1F3864"/>
        </w:rPr>
        <w:t xml:space="preserve">4. Kurulan İlişki: Biology → Component → Ablation → Isolated Question</w:t>
      </w:r>
    </w:p>
    <w:p>
      <w:pPr>
        <w:spacing w:after="120" w:line="276"/>
      </w:pPr>
      <w:r>
        <w:rPr>
          <w:color w:val="222222"/>
          <w:sz w:val="21"/>
          <w:szCs w:val="21"/>
        </w:rPr>
        <w:t xml:space="preserve">Bu bölüm çalışmanın omurgasıdır: her biological mechanism’ı bir model component’ına, her component’ı bir ablation axis’ine, her axis’i de o axis’in isolate ettiği tek bir scientific question’a bağlıyorum. Böylece deneyler keyfi bir variant koleksiyonu değil, thesis claim’i parça parça sınayan bir causal chain oluşturur. Anahtar ilke: bir ablation axis’ini değiştirirken diğer her şey sabit tutulur, dolayısıyla ölçülen fark yalnızca o component’a atfedilebilir.</w:t>
      </w:r>
    </w:p>
    <w:p>
      <w:pPr>
        <w:spacing w:after="40"/>
      </w:pPr>
    </w:p>
    <w:tbl>
      <w:tblPr>
        <w:tblW w:type="dxa" w:w="860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2350"/>
        <w:gridCol w:w="2550"/>
        <w:gridCol w:w="2800"/>
      </w:tblGrid>
      <w:tr>
        <w:trPr>
          <w:tblHeader/>
        </w:trPr>
        <w:tc>
          <w:tcPr>
            <w:tcW w:type="dxa" w:w="900"/>
            <w:shd w:fill="1F3864" w:color="auto" w:val="clear"/>
            <w:tcMar>
              <w:top w:type="dxa" w:w="55"/>
              <w:left w:type="dxa" w:w="90"/>
              <w:bottom w:type="dxa" w:w="55"/>
              <w:right w:type="dxa" w:w="90"/>
            </w:tcMar>
          </w:tcPr>
          <w:p>
            <w:pPr>
              <w:spacing w:after="0" w:line="250"/>
              <w:jc w:val="left"/>
            </w:pPr>
            <w:r>
              <w:rPr>
                <w:b/>
                <w:bCs/>
                <w:color w:val="FFFFFF"/>
                <w:sz w:val="19"/>
                <w:szCs w:val="19"/>
              </w:rPr>
              <w:t xml:space="preserve">Axis</w:t>
            </w:r>
          </w:p>
        </w:tc>
        <w:tc>
          <w:tcPr>
            <w:tcW w:type="dxa" w:w="2350"/>
            <w:shd w:fill="1F3864" w:color="auto" w:val="clear"/>
            <w:tcMar>
              <w:top w:type="dxa" w:w="55"/>
              <w:left w:type="dxa" w:w="90"/>
              <w:bottom w:type="dxa" w:w="55"/>
              <w:right w:type="dxa" w:w="90"/>
            </w:tcMar>
          </w:tcPr>
          <w:p>
            <w:pPr>
              <w:spacing w:after="0" w:line="250"/>
              <w:jc w:val="left"/>
            </w:pPr>
            <w:r>
              <w:rPr>
                <w:b/>
                <w:bCs/>
                <w:color w:val="FFFFFF"/>
                <w:sz w:val="19"/>
                <w:szCs w:val="19"/>
              </w:rPr>
              <w:t xml:space="preserve">Compared conditions</w:t>
            </w:r>
          </w:p>
        </w:tc>
        <w:tc>
          <w:tcPr>
            <w:tcW w:type="dxa" w:w="2550"/>
            <w:shd w:fill="1F3864" w:color="auto" w:val="clear"/>
            <w:tcMar>
              <w:top w:type="dxa" w:w="55"/>
              <w:left w:type="dxa" w:w="90"/>
              <w:bottom w:type="dxa" w:w="55"/>
              <w:right w:type="dxa" w:w="90"/>
            </w:tcMar>
          </w:tcPr>
          <w:p>
            <w:pPr>
              <w:spacing w:after="0" w:line="250"/>
              <w:jc w:val="left"/>
            </w:pPr>
            <w:r>
              <w:rPr>
                <w:b/>
                <w:bCs/>
                <w:color w:val="FFFFFF"/>
                <w:sz w:val="19"/>
                <w:szCs w:val="19"/>
              </w:rPr>
              <w:t xml:space="preserve">Held fixed</w:t>
            </w:r>
          </w:p>
        </w:tc>
        <w:tc>
          <w:tcPr>
            <w:tcW w:type="dxa" w:w="2800"/>
            <w:shd w:fill="1F3864" w:color="auto" w:val="clear"/>
            <w:tcMar>
              <w:top w:type="dxa" w:w="55"/>
              <w:left w:type="dxa" w:w="90"/>
              <w:bottom w:type="dxa" w:w="55"/>
              <w:right w:type="dxa" w:w="90"/>
            </w:tcMar>
          </w:tcPr>
          <w:p>
            <w:pPr>
              <w:spacing w:after="0" w:line="250"/>
              <w:jc w:val="left"/>
            </w:pPr>
            <w:r>
              <w:rPr>
                <w:b/>
                <w:bCs/>
                <w:color w:val="FFFFFF"/>
                <w:sz w:val="19"/>
                <w:szCs w:val="19"/>
              </w:rPr>
              <w:t xml:space="preserve">Isolated question</w:t>
            </w:r>
          </w:p>
        </w:tc>
      </w:tr>
      <w:tr>
        <w:tc>
          <w:tcPr>
            <w:tcW w:type="dxa" w:w="900"/>
            <w:shd w:fill="FFFFFF" w:color="auto" w:val="clear"/>
            <w:tcMar>
              <w:top w:type="dxa" w:w="55"/>
              <w:left w:type="dxa" w:w="90"/>
              <w:bottom w:type="dxa" w:w="55"/>
              <w:right w:type="dxa" w:w="90"/>
            </w:tcMar>
          </w:tcPr>
          <w:p>
            <w:pPr>
              <w:spacing w:after="0" w:line="250"/>
              <w:jc w:val="left"/>
            </w:pPr>
            <w:r>
              <w:rPr>
                <w:color w:val="222222"/>
                <w:sz w:val="17"/>
                <w:szCs w:val="17"/>
              </w:rPr>
              <w:t xml:space="preserve">C1</w:t>
            </w:r>
          </w:p>
        </w:tc>
        <w:tc>
          <w:tcPr>
            <w:tcW w:type="dxa" w:w="2350"/>
            <w:shd w:fill="FFFFFF" w:color="auto" w:val="clear"/>
            <w:tcMar>
              <w:top w:type="dxa" w:w="55"/>
              <w:left w:type="dxa" w:w="90"/>
              <w:bottom w:type="dxa" w:w="55"/>
              <w:right w:type="dxa" w:w="90"/>
            </w:tcMar>
          </w:tcPr>
          <w:p>
            <w:pPr>
              <w:spacing w:after="0" w:line="250"/>
              <w:jc w:val="left"/>
            </w:pPr>
            <w:r>
              <w:rPr>
                <w:color w:val="222222"/>
                <w:sz w:val="17"/>
                <w:szCs w:val="17"/>
              </w:rPr>
              <w:t xml:space="preserve">A1 (no foveation) ↔ A2 (R-Blur)</w:t>
            </w:r>
          </w:p>
        </w:tc>
        <w:tc>
          <w:tcPr>
            <w:tcW w:type="dxa" w:w="2550"/>
            <w:shd w:fill="FFFFFF" w:color="auto" w:val="clear"/>
            <w:tcMar>
              <w:top w:type="dxa" w:w="55"/>
              <w:left w:type="dxa" w:w="90"/>
              <w:bottom w:type="dxa" w:w="55"/>
              <w:right w:type="dxa" w:w="90"/>
            </w:tcMar>
          </w:tcPr>
          <w:p>
            <w:pPr>
              <w:spacing w:after="0" w:line="250"/>
              <w:jc w:val="left"/>
            </w:pPr>
            <w:r>
              <w:rPr>
                <w:color w:val="222222"/>
                <w:sz w:val="17"/>
                <w:szCs w:val="17"/>
              </w:rPr>
              <w:t xml:space="preserve">Backbone, data, training</w:t>
            </w:r>
          </w:p>
        </w:tc>
        <w:tc>
          <w:tcPr>
            <w:tcW w:type="dxa" w:w="2800"/>
            <w:shd w:fill="FFFFFF" w:color="auto" w:val="clear"/>
            <w:tcMar>
              <w:top w:type="dxa" w:w="55"/>
              <w:left w:type="dxa" w:w="90"/>
              <w:bottom w:type="dxa" w:w="55"/>
              <w:right w:type="dxa" w:w="90"/>
            </w:tcMar>
          </w:tcPr>
          <w:p>
            <w:pPr>
              <w:spacing w:after="0" w:line="250"/>
              <w:jc w:val="left"/>
            </w:pPr>
            <w:r>
              <w:rPr>
                <w:color w:val="222222"/>
                <w:sz w:val="17"/>
                <w:szCs w:val="17"/>
              </w:rPr>
              <w:t xml:space="preserve">Foveal acuity gradient’ın tek başına contribution’ı nedir?</w:t>
            </w:r>
          </w:p>
        </w:tc>
      </w:tr>
      <w:tr>
        <w:tc>
          <w:tcPr>
            <w:tcW w:type="dxa" w:w="900"/>
            <w:shd w:fill="E8EEF7" w:color="auto" w:val="clear"/>
            <w:tcMar>
              <w:top w:type="dxa" w:w="55"/>
              <w:left w:type="dxa" w:w="90"/>
              <w:bottom w:type="dxa" w:w="55"/>
              <w:right w:type="dxa" w:w="90"/>
            </w:tcMar>
          </w:tcPr>
          <w:p>
            <w:pPr>
              <w:spacing w:after="0" w:line="250"/>
              <w:jc w:val="left"/>
            </w:pPr>
            <w:r>
              <w:rPr>
                <w:color w:val="C55A11"/>
                <w:sz w:val="17"/>
                <w:szCs w:val="17"/>
              </w:rPr>
              <w:t xml:space="preserve">C2</w:t>
            </w:r>
          </w:p>
        </w:tc>
        <w:tc>
          <w:tcPr>
            <w:tcW w:type="dxa" w:w="2350"/>
            <w:shd w:fill="E8EEF7" w:color="auto" w:val="clear"/>
            <w:tcMar>
              <w:top w:type="dxa" w:w="55"/>
              <w:left w:type="dxa" w:w="90"/>
              <w:bottom w:type="dxa" w:w="55"/>
              <w:right w:type="dxa" w:w="90"/>
            </w:tcMar>
          </w:tcPr>
          <w:p>
            <w:pPr>
              <w:spacing w:after="0" w:line="250"/>
              <w:jc w:val="left"/>
            </w:pPr>
            <w:r>
              <w:rPr>
                <w:color w:val="222222"/>
                <w:sz w:val="17"/>
                <w:szCs w:val="17"/>
              </w:rPr>
              <w:t xml:space="preserve">A2 (flat blur) ↔ A3 (i.i.d. noise) ↔ A4 (trace-based)</w:t>
            </w:r>
          </w:p>
        </w:tc>
        <w:tc>
          <w:tcPr>
            <w:tcW w:type="dxa" w:w="2550"/>
            <w:shd w:fill="E8EEF7" w:color="auto" w:val="clear"/>
            <w:tcMar>
              <w:top w:type="dxa" w:w="55"/>
              <w:left w:type="dxa" w:w="90"/>
              <w:bottom w:type="dxa" w:w="55"/>
              <w:right w:type="dxa" w:w="90"/>
            </w:tcMar>
          </w:tcPr>
          <w:p>
            <w:pPr>
              <w:spacing w:after="0" w:line="250"/>
              <w:jc w:val="left"/>
            </w:pPr>
            <w:r>
              <w:rPr>
                <w:color w:val="222222"/>
                <w:sz w:val="17"/>
                <w:szCs w:val="17"/>
              </w:rPr>
              <w:t xml:space="preserve">Equal average SNR budget</w:t>
            </w:r>
          </w:p>
        </w:tc>
        <w:tc>
          <w:tcPr>
            <w:tcW w:type="dxa" w:w="2800"/>
            <w:shd w:fill="E8EEF7" w:color="auto" w:val="clear"/>
            <w:tcMar>
              <w:top w:type="dxa" w:w="55"/>
              <w:left w:type="dxa" w:w="90"/>
              <w:bottom w:type="dxa" w:w="55"/>
              <w:right w:type="dxa" w:w="90"/>
            </w:tcMar>
          </w:tcPr>
          <w:p>
            <w:pPr>
              <w:spacing w:after="0" w:line="250"/>
              <w:jc w:val="left"/>
            </w:pPr>
            <w:r>
              <w:rPr>
                <w:color w:val="222222"/>
                <w:sz w:val="17"/>
                <w:szCs w:val="17"/>
              </w:rPr>
              <w:t xml:space="preserve">Equal SNR’de noise’un structure’ı (signal-conditioned, texture-matched) fark yaratır mı?</w:t>
            </w:r>
          </w:p>
        </w:tc>
      </w:tr>
      <w:tr>
        <w:tc>
          <w:tcPr>
            <w:tcW w:type="dxa" w:w="900"/>
            <w:shd w:fill="FFFFFF" w:color="auto" w:val="clear"/>
            <w:tcMar>
              <w:top w:type="dxa" w:w="55"/>
              <w:left w:type="dxa" w:w="90"/>
              <w:bottom w:type="dxa" w:w="55"/>
              <w:right w:type="dxa" w:w="90"/>
            </w:tcMar>
          </w:tcPr>
          <w:p>
            <w:pPr>
              <w:spacing w:after="0" w:line="250"/>
              <w:jc w:val="left"/>
            </w:pPr>
            <w:r>
              <w:rPr>
                <w:color w:val="C55A11"/>
                <w:sz w:val="17"/>
                <w:szCs w:val="17"/>
              </w:rPr>
              <w:t xml:space="preserve">C2′</w:t>
            </w:r>
          </w:p>
        </w:tc>
        <w:tc>
          <w:tcPr>
            <w:tcW w:type="dxa" w:w="2350"/>
            <w:shd w:fill="FFFFFF" w:color="auto" w:val="clear"/>
            <w:tcMar>
              <w:top w:type="dxa" w:w="55"/>
              <w:left w:type="dxa" w:w="90"/>
              <w:bottom w:type="dxa" w:w="55"/>
              <w:right w:type="dxa" w:w="90"/>
            </w:tcMar>
          </w:tcPr>
          <w:p>
            <w:pPr>
              <w:spacing w:after="0" w:line="250"/>
              <w:jc w:val="left"/>
            </w:pPr>
            <w:r>
              <w:rPr>
                <w:color w:val="222222"/>
                <w:sz w:val="17"/>
                <w:szCs w:val="17"/>
              </w:rPr>
              <w:t xml:space="preserve">A6: β∈{1,2,3} ve SNR₀ sweep; Watson-SNR ↔ flat SNR</w:t>
            </w:r>
          </w:p>
        </w:tc>
        <w:tc>
          <w:tcPr>
            <w:tcW w:type="dxa" w:w="2550"/>
            <w:shd w:fill="FFFFFF" w:color="auto" w:val="clear"/>
            <w:tcMar>
              <w:top w:type="dxa" w:w="55"/>
              <w:left w:type="dxa" w:w="90"/>
              <w:bottom w:type="dxa" w:w="55"/>
              <w:right w:type="dxa" w:w="90"/>
            </w:tcMar>
          </w:tcPr>
          <w:p>
            <w:pPr>
              <w:spacing w:after="0" w:line="250"/>
              <w:jc w:val="left"/>
            </w:pPr>
            <w:r>
              <w:rPr>
                <w:color w:val="222222"/>
                <w:sz w:val="17"/>
                <w:szCs w:val="17"/>
              </w:rPr>
              <w:t xml:space="preserve">Trace-based regime</w:t>
            </w:r>
          </w:p>
        </w:tc>
        <w:tc>
          <w:tcPr>
            <w:tcW w:type="dxa" w:w="2800"/>
            <w:shd w:fill="FFFFFF" w:color="auto" w:val="clear"/>
            <w:tcMar>
              <w:top w:type="dxa" w:w="55"/>
              <w:left w:type="dxa" w:w="90"/>
              <w:bottom w:type="dxa" w:w="55"/>
              <w:right w:type="dxa" w:w="90"/>
            </w:tcMar>
          </w:tcPr>
          <w:p>
            <w:pPr>
              <w:spacing w:after="0" w:line="250"/>
              <w:jc w:val="left"/>
            </w:pPr>
            <w:r>
              <w:rPr>
                <w:color w:val="222222"/>
                <w:sz w:val="17"/>
                <w:szCs w:val="17"/>
              </w:rPr>
              <w:t xml:space="preserve">Biological SNR(r) roll-off, accuracy–robustness sweet spot’u verir mi?</w:t>
            </w:r>
          </w:p>
        </w:tc>
      </w:tr>
      <w:tr>
        <w:tc>
          <w:tcPr>
            <w:tcW w:type="dxa" w:w="900"/>
            <w:shd w:fill="E8EEF7" w:color="auto" w:val="clear"/>
            <w:tcMar>
              <w:top w:type="dxa" w:w="55"/>
              <w:left w:type="dxa" w:w="90"/>
              <w:bottom w:type="dxa" w:w="55"/>
              <w:right w:type="dxa" w:w="90"/>
            </w:tcMar>
          </w:tcPr>
          <w:p>
            <w:pPr>
              <w:spacing w:after="0" w:line="250"/>
              <w:jc w:val="left"/>
            </w:pPr>
            <w:r>
              <w:rPr>
                <w:color w:val="222222"/>
                <w:sz w:val="17"/>
                <w:szCs w:val="17"/>
              </w:rPr>
              <w:t xml:space="preserve">C3</w:t>
            </w:r>
          </w:p>
        </w:tc>
        <w:tc>
          <w:tcPr>
            <w:tcW w:type="dxa" w:w="2350"/>
            <w:shd w:fill="E8EEF7" w:color="auto" w:val="clear"/>
            <w:tcMar>
              <w:top w:type="dxa" w:w="55"/>
              <w:left w:type="dxa" w:w="90"/>
              <w:bottom w:type="dxa" w:w="55"/>
              <w:right w:type="dxa" w:w="90"/>
            </w:tcMar>
          </w:tcPr>
          <w:p>
            <w:pPr>
              <w:spacing w:after="0" w:line="250"/>
              <w:jc w:val="left"/>
            </w:pPr>
            <w:r>
              <w:rPr>
                <w:color w:val="222222"/>
                <w:sz w:val="17"/>
                <w:szCs w:val="17"/>
              </w:rPr>
              <w:t xml:space="preserve">B7 (none) ↔ B8 (Gabor, noise off) ↔ B9 (Poisson on)</w:t>
            </w:r>
          </w:p>
        </w:tc>
        <w:tc>
          <w:tcPr>
            <w:tcW w:type="dxa" w:w="2550"/>
            <w:shd w:fill="E8EEF7" w:color="auto" w:val="clear"/>
            <w:tcMar>
              <w:top w:type="dxa" w:w="55"/>
              <w:left w:type="dxa" w:w="90"/>
              <w:bottom w:type="dxa" w:w="55"/>
              <w:right w:type="dxa" w:w="90"/>
            </w:tcMar>
          </w:tcPr>
          <w:p>
            <w:pPr>
              <w:spacing w:after="0" w:line="250"/>
              <w:jc w:val="left"/>
            </w:pPr>
            <w:r>
              <w:rPr>
                <w:color w:val="222222"/>
                <w:sz w:val="17"/>
                <w:szCs w:val="17"/>
              </w:rPr>
              <w:t xml:space="preserve">Backbone, data</w:t>
            </w:r>
          </w:p>
        </w:tc>
        <w:tc>
          <w:tcPr>
            <w:tcW w:type="dxa" w:w="2800"/>
            <w:shd w:fill="E8EEF7" w:color="auto" w:val="clear"/>
            <w:tcMar>
              <w:top w:type="dxa" w:w="55"/>
              <w:left w:type="dxa" w:w="90"/>
              <w:bottom w:type="dxa" w:w="55"/>
              <w:right w:type="dxa" w:w="90"/>
            </w:tcMar>
          </w:tcPr>
          <w:p>
            <w:pPr>
              <w:spacing w:after="0" w:line="250"/>
              <w:jc w:val="left"/>
            </w:pPr>
            <w:r>
              <w:rPr>
                <w:color w:val="222222"/>
                <w:sz w:val="17"/>
                <w:szCs w:val="17"/>
              </w:rPr>
              <w:t xml:space="preserve">Gabor bank mı yoksa stochastic noise mı robustness getiriyor?</w:t>
            </w:r>
          </w:p>
        </w:tc>
      </w:tr>
      <w:tr>
        <w:tc>
          <w:tcPr>
            <w:tcW w:type="dxa" w:w="900"/>
            <w:shd w:fill="FFFFFF" w:color="auto" w:val="clear"/>
            <w:tcMar>
              <w:top w:type="dxa" w:w="55"/>
              <w:left w:type="dxa" w:w="90"/>
              <w:bottom w:type="dxa" w:w="55"/>
              <w:right w:type="dxa" w:w="90"/>
            </w:tcMar>
          </w:tcPr>
          <w:p>
            <w:pPr>
              <w:spacing w:after="0" w:line="250"/>
              <w:jc w:val="left"/>
            </w:pPr>
            <w:r>
              <w:rPr>
                <w:color w:val="222222"/>
                <w:sz w:val="17"/>
                <w:szCs w:val="17"/>
              </w:rPr>
              <w:t xml:space="preserve">C4</w:t>
            </w:r>
          </w:p>
        </w:tc>
        <w:tc>
          <w:tcPr>
            <w:tcW w:type="dxa" w:w="2350"/>
            <w:shd w:fill="FFFFFF" w:color="auto" w:val="clear"/>
            <w:tcMar>
              <w:top w:type="dxa" w:w="55"/>
              <w:left w:type="dxa" w:w="90"/>
              <w:bottom w:type="dxa" w:w="55"/>
              <w:right w:type="dxa" w:w="90"/>
            </w:tcMar>
          </w:tcPr>
          <w:p>
            <w:pPr>
              <w:spacing w:after="0" w:line="250"/>
              <w:jc w:val="left"/>
            </w:pPr>
            <w:r>
              <w:rPr>
                <w:color w:val="222222"/>
                <w:sz w:val="17"/>
                <w:szCs w:val="17"/>
              </w:rPr>
              <w:t xml:space="preserve">B12 (ResNet-50) ↔ B13 (CORnet-S)</w:t>
            </w:r>
          </w:p>
        </w:tc>
        <w:tc>
          <w:tcPr>
            <w:tcW w:type="dxa" w:w="2550"/>
            <w:shd w:fill="FFFFFF" w:color="auto" w:val="clear"/>
            <w:tcMar>
              <w:top w:type="dxa" w:w="55"/>
              <w:left w:type="dxa" w:w="90"/>
              <w:bottom w:type="dxa" w:w="55"/>
              <w:right w:type="dxa" w:w="90"/>
            </w:tcMar>
          </w:tcPr>
          <w:p>
            <w:pPr>
              <w:spacing w:after="0" w:line="250"/>
              <w:jc w:val="left"/>
            </w:pPr>
            <w:r>
              <w:rPr>
                <w:color w:val="222222"/>
                <w:sz w:val="17"/>
                <w:szCs w:val="17"/>
              </w:rPr>
              <w:t xml:space="preserve">Front-end, data</w:t>
            </w:r>
          </w:p>
        </w:tc>
        <w:tc>
          <w:tcPr>
            <w:tcW w:type="dxa" w:w="2800"/>
            <w:shd w:fill="FFFFFF" w:color="auto" w:val="clear"/>
            <w:tcMar>
              <w:top w:type="dxa" w:w="55"/>
              <w:left w:type="dxa" w:w="90"/>
              <w:bottom w:type="dxa" w:w="55"/>
              <w:right w:type="dxa" w:w="90"/>
            </w:tcMar>
          </w:tcPr>
          <w:p>
            <w:pPr>
              <w:spacing w:after="0" w:line="250"/>
              <w:jc w:val="left"/>
            </w:pPr>
            <w:r>
              <w:rPr>
                <w:color w:val="222222"/>
                <w:sz w:val="17"/>
                <w:szCs w:val="17"/>
              </w:rPr>
              <w:t xml:space="preserve">Explicit recurrence, Brain-Score/robustness’a ek contribution sağlıyor mu?</w:t>
            </w:r>
          </w:p>
        </w:tc>
      </w:tr>
      <w:tr>
        <w:tc>
          <w:tcPr>
            <w:tcW w:type="dxa" w:w="900"/>
            <w:shd w:fill="E8EEF7" w:color="auto" w:val="clear"/>
            <w:tcMar>
              <w:top w:type="dxa" w:w="55"/>
              <w:left w:type="dxa" w:w="90"/>
              <w:bottom w:type="dxa" w:w="55"/>
              <w:right w:type="dxa" w:w="90"/>
            </w:tcMar>
          </w:tcPr>
          <w:p>
            <w:pPr>
              <w:spacing w:after="0" w:line="250"/>
              <w:jc w:val="left"/>
            </w:pPr>
            <w:r>
              <w:rPr>
                <w:color w:val="222222"/>
                <w:sz w:val="17"/>
                <w:szCs w:val="17"/>
              </w:rPr>
              <w:t xml:space="preserve">C5</w:t>
            </w:r>
          </w:p>
        </w:tc>
        <w:tc>
          <w:tcPr>
            <w:tcW w:type="dxa" w:w="2350"/>
            <w:shd w:fill="E8EEF7" w:color="auto" w:val="clear"/>
            <w:tcMar>
              <w:top w:type="dxa" w:w="55"/>
              <w:left w:type="dxa" w:w="90"/>
              <w:bottom w:type="dxa" w:w="55"/>
              <w:right w:type="dxa" w:w="90"/>
            </w:tcMar>
          </w:tcPr>
          <w:p>
            <w:pPr>
              <w:spacing w:after="0" w:line="250"/>
              <w:jc w:val="left"/>
            </w:pPr>
            <w:r>
              <w:rPr>
                <w:color w:val="222222"/>
                <w:sz w:val="17"/>
                <w:szCs w:val="17"/>
              </w:rPr>
              <w:t xml:space="preserve">D1 (single-glance) ↔ D2 (soft halting) ↔ D3 (REINFORCE) ↔ D4 (uncertainty)</w:t>
            </w:r>
          </w:p>
        </w:tc>
        <w:tc>
          <w:tcPr>
            <w:tcW w:type="dxa" w:w="2550"/>
            <w:shd w:fill="E8EEF7" w:color="auto" w:val="clear"/>
            <w:tcMar>
              <w:top w:type="dxa" w:w="55"/>
              <w:left w:type="dxa" w:w="90"/>
              <w:bottom w:type="dxa" w:w="55"/>
              <w:right w:type="dxa" w:w="90"/>
            </w:tcMar>
          </w:tcPr>
          <w:p>
            <w:pPr>
              <w:spacing w:after="0" w:line="250"/>
              <w:jc w:val="left"/>
            </w:pPr>
            <w:r>
              <w:rPr>
                <w:color w:val="222222"/>
                <w:sz w:val="17"/>
                <w:szCs w:val="17"/>
              </w:rPr>
              <w:t xml:space="preserve">Model body</w:t>
            </w:r>
          </w:p>
        </w:tc>
        <w:tc>
          <w:tcPr>
            <w:tcW w:type="dxa" w:w="2800"/>
            <w:shd w:fill="E8EEF7" w:color="auto" w:val="clear"/>
            <w:tcMar>
              <w:top w:type="dxa" w:w="55"/>
              <w:left w:type="dxa" w:w="90"/>
              <w:bottom w:type="dxa" w:w="55"/>
              <w:right w:type="dxa" w:w="90"/>
            </w:tcMar>
          </w:tcPr>
          <w:p>
            <w:pPr>
              <w:spacing w:after="0" w:line="250"/>
              <w:jc w:val="left"/>
            </w:pPr>
            <w:r>
              <w:rPr>
                <w:color w:val="222222"/>
                <w:sz w:val="17"/>
                <w:szCs w:val="17"/>
              </w:rPr>
              <w:t xml:space="preserve">Fixation repetition ve halting signal accuracy/efficiency’yi nasıl değiştirir?</w:t>
            </w:r>
          </w:p>
        </w:tc>
      </w:tr>
      <w:tr>
        <w:tc>
          <w:tcPr>
            <w:tcW w:type="dxa" w:w="900"/>
            <w:shd w:fill="FFFFFF" w:color="auto" w:val="clear"/>
            <w:tcMar>
              <w:top w:type="dxa" w:w="55"/>
              <w:left w:type="dxa" w:w="90"/>
              <w:bottom w:type="dxa" w:w="55"/>
              <w:right w:type="dxa" w:w="90"/>
            </w:tcMar>
          </w:tcPr>
          <w:p>
            <w:pPr>
              <w:spacing w:after="0" w:line="250"/>
              <w:jc w:val="left"/>
            </w:pPr>
            <w:r>
              <w:rPr>
                <w:color w:val="222222"/>
                <w:sz w:val="17"/>
                <w:szCs w:val="17"/>
              </w:rPr>
              <w:t xml:space="preserve">Training</w:t>
            </w:r>
          </w:p>
        </w:tc>
        <w:tc>
          <w:tcPr>
            <w:tcW w:type="dxa" w:w="2350"/>
            <w:shd w:fill="FFFFFF" w:color="auto" w:val="clear"/>
            <w:tcMar>
              <w:top w:type="dxa" w:w="55"/>
              <w:left w:type="dxa" w:w="90"/>
              <w:bottom w:type="dxa" w:w="55"/>
              <w:right w:type="dxa" w:w="90"/>
            </w:tcMar>
          </w:tcPr>
          <w:p>
            <w:pPr>
              <w:spacing w:after="0" w:line="250"/>
              <w:jc w:val="left"/>
            </w:pPr>
            <w:r>
              <w:rPr>
                <w:color w:val="222222"/>
                <w:sz w:val="17"/>
                <w:szCs w:val="17"/>
              </w:rPr>
              <w:t xml:space="preserve">E1 (fixed) ↔ E2 (curriculum) ↔ E3 (AT-free)</w:t>
            </w:r>
          </w:p>
        </w:tc>
        <w:tc>
          <w:tcPr>
            <w:tcW w:type="dxa" w:w="2550"/>
            <w:shd w:fill="FFFFFF" w:color="auto" w:val="clear"/>
            <w:tcMar>
              <w:top w:type="dxa" w:w="55"/>
              <w:left w:type="dxa" w:w="90"/>
              <w:bottom w:type="dxa" w:w="55"/>
              <w:right w:type="dxa" w:w="90"/>
            </w:tcMar>
          </w:tcPr>
          <w:p>
            <w:pPr>
              <w:spacing w:after="0" w:line="250"/>
              <w:jc w:val="left"/>
            </w:pPr>
            <w:r>
              <w:rPr>
                <w:color w:val="222222"/>
                <w:sz w:val="17"/>
                <w:szCs w:val="17"/>
              </w:rPr>
              <w:t xml:space="preserve">Architecture</w:t>
            </w:r>
          </w:p>
        </w:tc>
        <w:tc>
          <w:tcPr>
            <w:tcW w:type="dxa" w:w="2800"/>
            <w:shd w:fill="FFFFFF" w:color="auto" w:val="clear"/>
            <w:tcMar>
              <w:top w:type="dxa" w:w="55"/>
              <w:left w:type="dxa" w:w="90"/>
              <w:bottom w:type="dxa" w:w="55"/>
              <w:right w:type="dxa" w:w="90"/>
            </w:tcMar>
          </w:tcPr>
          <w:p>
            <w:pPr>
              <w:spacing w:after="0" w:line="250"/>
              <w:jc w:val="left"/>
            </w:pPr>
            <w:r>
              <w:rPr>
                <w:color w:val="222222"/>
                <w:sz w:val="17"/>
                <w:szCs w:val="17"/>
              </w:rPr>
              <w:t xml:space="preserve">Robustness, adversarial training olmadan sadece biological prior ile mümkün mü?</w:t>
            </w:r>
          </w:p>
        </w:tc>
      </w:tr>
    </w:tbl>
    <w:p>
      <w:pPr>
        <w:spacing w:after="60"/>
      </w:pPr>
    </w:p>
    <w:p>
      <w:pPr>
        <w:pStyle w:val="Heading2"/>
        <w:spacing w:after="90" w:before="220"/>
      </w:pPr>
      <w:r>
        <w:rPr>
          <w:b/>
          <w:bCs/>
          <w:color w:val="2E5496"/>
        </w:rPr>
        <w:t xml:space="preserve">4.1 Zincirin okunuşu — bir örnek</w:t>
      </w:r>
    </w:p>
    <w:p>
      <w:pPr>
        <w:spacing w:after="120" w:line="276"/>
      </w:pPr>
      <w:r>
        <w:rPr>
          <w:color w:val="222222"/>
          <w:sz w:val="21"/>
          <w:szCs w:val="21"/>
        </w:rPr>
        <w:t xml:space="preserve">C2 axis’ini ele alalım. Biological observation: insan peripheral vision’ı signal’i silmez, local summary statistics’i (texture) korur; aynı statistic’e sahip iki farklı görüntü peripheral’de ayırt edilemez — bunlara </w:t>
      </w:r>
      <w:r>
        <w:rPr>
          <w:i/>
          <w:iCs/>
          <w:color w:val="222222"/>
          <w:sz w:val="21"/>
          <w:szCs w:val="21"/>
        </w:rPr>
        <w:t xml:space="preserve">metamer</w:t>
      </w:r>
      <w:r>
        <w:rPr>
          <w:color w:val="222222"/>
          <w:sz w:val="21"/>
          <w:szCs w:val="21"/>
        </w:rPr>
        <w:t xml:space="preserve"> denir. Model karşılığı: periphery’yi flat blur veya unstructured i.i.d. noise yerine, underlying signal’in local statistics’ine conditioned bir noise sample’ıyla değiştirmek. Ablation: A2/A3/A4 üç regime’ini equal average SNR budget’ında karşılaştırmak. Isolated question: fark SNR level’ından değil, noise’un structure’ından geliyorsa, A4 equal SNR’de bile A2/A3’ü geçmelidir. Hypothesis: </w:t>
      </w:r>
      <w:r>
        <w:rPr>
          <w:i/>
          <w:iCs/>
          <w:color w:val="222222"/>
          <w:sz w:val="21"/>
          <w:szCs w:val="21"/>
        </w:rPr>
        <w:t xml:space="preserve">A4 &gt; A3 ≳ A2 &gt; A1</w:t>
      </w:r>
      <w:r>
        <w:rPr>
          <w:color w:val="222222"/>
          <w:sz w:val="21"/>
          <w:szCs w:val="21"/>
        </w:rPr>
        <w:t xml:space="preserve"> (robustness ve human-metamer similarity’de).</w:t>
      </w:r>
    </w:p>
    <w:p>
      <w:pPr>
        <w:pStyle w:val="Heading1"/>
        <w:spacing w:after="140" w:before="320"/>
      </w:pPr>
      <w:r>
        <w:rPr>
          <w:b/>
          <w:bCs/>
          <w:color w:val="1F3864"/>
        </w:rPr>
        <w:t xml:space="preserve">5. Original Contribution: Trace-Based Metameric Peripheral Noise</w:t>
      </w:r>
    </w:p>
    <w:p>
      <w:pPr>
        <w:spacing w:after="120" w:line="276"/>
      </w:pPr>
      <w:r>
        <w:rPr>
          <w:color w:val="222222"/>
          <w:sz w:val="21"/>
          <w:szCs w:val="21"/>
        </w:rPr>
        <w:t xml:space="preserve">Fikrin özü, peripheral degradation’ı "blur-σ" gibi keyfi bir parametreyle değil, signal power’ın noise power’a oranıyla (SNR) kontrol etmek ve bu SNR profilini human anatomy’ye dayandırmaktır.</w:t>
      </w:r>
    </w:p>
    <w:p>
      <w:pPr>
        <w:pStyle w:val="Heading2"/>
        <w:spacing w:after="90" w:before="220"/>
      </w:pPr>
      <w:r>
        <w:rPr>
          <w:b/>
          <w:bCs/>
          <w:color w:val="2E5496"/>
        </w:rPr>
        <w:t xml:space="preserve">5.1 Watson (2014): pooling scale’in biological basis’i</w:t>
      </w:r>
    </w:p>
    <w:p>
      <w:pPr>
        <w:spacing w:after="120" w:line="276"/>
      </w:pPr>
      <w:r>
        <w:rPr>
          <w:color w:val="222222"/>
          <w:sz w:val="21"/>
          <w:szCs w:val="21"/>
        </w:rPr>
        <w:t xml:space="preserve">Curcio &amp; Allen (1990) ganglion density ölçümlerinden türetilen Watson formülü, midget RGC hücrelerinin mean spacing’inin eccentricity ile (r, degree) yaklaşık linear büyüdüğünü verir:</w:t>
      </w:r>
    </w:p>
    <w:p>
      <w:pPr>
        <w:spacing w:after="120" w:before="90"/>
        <w:jc w:val="center"/>
      </w:pPr>
      <w:r>
        <w:rPr>
          <w:i/>
          <w:iCs/>
          <w:color w:val="1F3864"/>
          <w:sz w:val="22"/>
          <w:szCs w:val="22"/>
        </w:rPr>
        <w:t xml:space="preserve">60·s(r) ≈ 0.53 + 0.434·r     ⇒     s(r) = (0.53 + 0.434·r) / 60   [degree]</w:t>
      </w:r>
    </w:p>
    <w:p>
      <w:pPr>
        <w:spacing w:after="120" w:line="276"/>
      </w:pPr>
      <w:r>
        <w:rPr>
          <w:color w:val="222222"/>
          <w:sz w:val="21"/>
          <w:szCs w:val="21"/>
        </w:rPr>
        <w:t xml:space="preserve">Pooling window radius bu spacing ile orantılı seçilir: </w:t>
      </w:r>
      <w:r>
        <w:rPr>
          <w:i/>
          <w:iCs/>
          <w:color w:val="222222"/>
          <w:sz w:val="21"/>
          <w:szCs w:val="21"/>
        </w:rPr>
        <w:t xml:space="preserve">w(r) = κ·s(r)</w:t>
      </w:r>
      <w:r>
        <w:rPr>
          <w:color w:val="222222"/>
          <w:sz w:val="21"/>
          <w:szCs w:val="21"/>
        </w:rPr>
        <w:t xml:space="preserve">. Fovea merkezinde (r→0) window ≈ 1 pixel olur ve signal neredeyse birebir korunur; r büyüdükçe window linear genişler, yani daha fazla statistical summarization yapılır. Kritik nokta: pooling scale ölçülmüş human anatomy’den gelir, keyfi bir blur schedule’dan değil.</w:t>
      </w:r>
    </w:p>
    <w:p>
      <w:pPr>
        <w:pStyle w:val="Heading2"/>
        <w:spacing w:after="90" w:before="220"/>
      </w:pPr>
      <w:r>
        <w:rPr>
          <w:b/>
          <w:bCs/>
          <w:color w:val="2E5496"/>
        </w:rPr>
        <w:t xml:space="preserve">5.2 SNR formalism ve roll-off law</w:t>
      </w:r>
    </w:p>
    <w:p>
      <w:pPr>
        <w:spacing w:after="120" w:line="276"/>
      </w:pPr>
      <w:r>
        <w:rPr>
          <w:color w:val="222222"/>
          <w:sz w:val="21"/>
          <w:szCs w:val="21"/>
        </w:rPr>
        <w:t xml:space="preserve">Trace-based sample, signal’i preserved component artı signal-conditioned metameric noise olarak yazılır. Local SNR, preserved signal power’ın metameric noise power’a oranıdır. Pooling area A(r) ∝ s(r)² eccentricity ile büyüdüğü için fine-structure fidelity area ile ters orantılı azalır; bu da eccentricity-dependent roll-off law’u verir:</w:t>
      </w:r>
    </w:p>
    <w:p>
      <w:pPr>
        <w:spacing w:after="120" w:before="90"/>
        <w:jc w:val="center"/>
      </w:pPr>
      <w:r>
        <w:rPr>
          <w:i/>
          <w:iCs/>
          <w:color w:val="1F3864"/>
          <w:sz w:val="22"/>
          <w:szCs w:val="22"/>
        </w:rPr>
        <w:t xml:space="preserve">SNR(r) = SNR₀ · ( s(0) / s(r) )^β = SNR₀ · ( 0.53 / (0.53 + 0.434·r) )^β</w:t>
      </w:r>
    </w:p>
    <w:p>
      <w:pPr>
        <w:spacing w:after="120" w:line="276"/>
      </w:pPr>
      <w:r>
        <w:rPr>
          <w:color w:val="222222"/>
          <w:sz w:val="21"/>
          <w:szCs w:val="21"/>
        </w:rPr>
        <w:t xml:space="preserve">Burada β roll-off’un steepness’ini kontrol eder (β=2, area-based summarization için defensible default) ve bir ablation knob’dur. SNR₀ foveal reference fidelity’dir. Bu formulation C2 axis’ini quantitative ve biologically grounded, tek bir measurable curve’e (realized SNR(r)) indirger — böylece "human periphery’ye ne kadar yakınız?" sorusu measurable hale gelir.</w:t>
      </w:r>
    </w:p>
    <w:p>
      <w:pPr>
        <w:pStyle w:val="Heading1"/>
        <w:spacing w:after="140" w:before="320"/>
      </w:pPr>
      <w:r>
        <w:rPr>
          <w:b/>
          <w:bCs/>
          <w:color w:val="1F3864"/>
        </w:rPr>
        <w:t xml:space="preserve">6. Experimental Environment ve Infrastructure</w:t>
      </w:r>
    </w:p>
    <w:p>
      <w:pPr>
        <w:spacing w:after="120" w:line="276"/>
      </w:pPr>
      <w:r>
        <w:rPr>
          <w:color w:val="222222"/>
          <w:sz w:val="21"/>
          <w:szCs w:val="21"/>
        </w:rPr>
        <w:t xml:space="preserve">Infrastructure üç binding principle üzerine kuruludur; bunlar hem reproducibility’yi hem de source fidelity’yi güvence altına alır.</w:t>
      </w:r>
    </w:p>
    <w:p>
      <w:pPr>
        <w:pStyle w:val="ListParagraph"/>
        <w:numPr>
          <w:ilvl w:val="0"/>
          <w:numId w:val="1"/>
        </w:numPr>
        <w:spacing w:after="70" w:line="270"/>
      </w:pPr>
      <w:r>
        <w:rPr>
          <w:color w:val="222222"/>
          <w:sz w:val="21"/>
          <w:szCs w:val="21"/>
        </w:rPr>
        <w:t xml:space="preserve">Working environment Google Colab’dır (A100/L4 GPU). Uzun ImageNet training’leri için checkpoint’lar Drive’a yazılır ve her notebook’ta resume-from-checkpoint zorunludur; Colab session drop’larına karşı dayanıklılık sağlar.</w:t>
      </w:r>
    </w:p>
    <w:p>
      <w:pPr>
        <w:pStyle w:val="ListParagraph"/>
        <w:numPr>
          <w:ilvl w:val="0"/>
          <w:numId w:val="1"/>
        </w:numPr>
        <w:spacing w:after="70" w:line="270"/>
      </w:pPr>
      <w:r>
        <w:rPr>
          <w:color w:val="222222"/>
          <w:sz w:val="21"/>
          <w:szCs w:val="21"/>
        </w:rPr>
        <w:t xml:space="preserve">Tüm deneyler notebook (.ipynb) formatındadır. src/ altındaki .py modülleri yalnızca shared utility fonksiyonlarını barındırır; experiment logic ve override’lar transparency için cell içinde açıkça görünür.</w:t>
      </w:r>
    </w:p>
    <w:p>
      <w:pPr>
        <w:pStyle w:val="ListParagraph"/>
        <w:numPr>
          <w:ilvl w:val="0"/>
          <w:numId w:val="1"/>
        </w:numPr>
        <w:spacing w:after="70" w:line="270"/>
      </w:pPr>
      <w:r>
        <w:rPr>
          <w:color w:val="222222"/>
          <w:sz w:val="21"/>
          <w:szCs w:val="21"/>
        </w:rPr>
        <w:t xml:space="preserve">Existing library’ler yeniden yazılmaz, override edilir. VOneNet, CORnet, FOVEA repoları external/ altına klonlanır ve asla düzenlenmez; behavioral change’ler tek satırlık, reversible bir flag ile uygulanır.</w:t>
      </w:r>
    </w:p>
    <w:p>
      <w:pPr>
        <w:pStyle w:val="Heading2"/>
        <w:spacing w:after="90" w:before="220"/>
      </w:pPr>
      <w:r>
        <w:rPr>
          <w:b/>
          <w:bCs/>
          <w:color w:val="2E5496"/>
        </w:rPr>
        <w:t xml:space="preserve">6.1 Override strategy — üç pattern</w:t>
      </w:r>
    </w:p>
    <w:p>
      <w:pPr>
        <w:spacing w:after="120" w:line="276"/>
      </w:pPr>
      <w:r>
        <w:rPr>
          <w:color w:val="222222"/>
          <w:sz w:val="21"/>
          <w:szCs w:val="21"/>
        </w:rPr>
        <w:t xml:space="preserve">Tüm override’lar </w:t>
      </w:r>
      <w:r>
        <w:rPr>
          <w:i/>
          <w:iCs/>
          <w:color w:val="222222"/>
          <w:sz w:val="21"/>
          <w:szCs w:val="21"/>
        </w:rPr>
        <w:t xml:space="preserve">src/overrides.py</w:t>
      </w:r>
      <w:r>
        <w:rPr>
          <w:color w:val="222222"/>
          <w:sz w:val="21"/>
          <w:szCs w:val="21"/>
        </w:rPr>
        <w:t xml:space="preserve"> içinde toplanır ve notebook’tan tek satırla etkinleştirilir. Üç pattern kullanılır: (A) Subclass — yalnızca gereken method’u override etmek (ör. VOneBlock Poisson noise’unu ablation için toggle edilebilir kılmak); (B) Monkey-patch — class’ı değiştirmeden runtime’da patch’lemek (ör. VOneBlock’un input-gradient bug’ının PGD/EOT için fix’lenmesi); (C) Wrapper nn.Module — input’a foveal transform eklemek veya IT-feedback loop’u sarmalamak. Her override apply_*/restore_* çiftiyle reversible’dır.</w:t>
      </w:r>
    </w:p>
    <w:p>
      <w:pPr>
        <w:spacing w:after="120" w:line="276"/>
      </w:pPr>
      <w:r>
        <w:rPr>
          <w:color w:val="C55A11"/>
          <w:sz w:val="21"/>
          <w:szCs w:val="21"/>
        </w:rPr>
        <w:t xml:space="preserve">Not (source fidelity): </w:t>
      </w:r>
      <w:r>
        <w:rPr>
          <w:color w:val="222222"/>
          <w:sz w:val="21"/>
          <w:szCs w:val="21"/>
        </w:rPr>
        <w:t xml:space="preserve">overrides.py, upstream VOneNet’teki gerçek bir bug’ı da fix’ler — simple/complex cell response’ları aynı tensor’ün disjoint slice’ları (view) olduğundan, in-place ReLU tüm storage’ın version counter’ını bozar ve VOneBlock input’una göre gradient alınınca (PGD/EOT’de) backward’ı kırar. Dapello ve ark. (2020) yalnızca parameter’lara göre gradient aldığından bunu trigger etmemişti; bizim adversarial ölçümlerimiz için fix şart.</w:t>
      </w:r>
    </w:p>
    <w:p>
      <w:pPr>
        <w:pStyle w:val="Heading2"/>
        <w:spacing w:after="90" w:before="220"/>
      </w:pPr>
      <w:r>
        <w:rPr>
          <w:b/>
          <w:bCs/>
          <w:color w:val="2E5496"/>
        </w:rPr>
        <w:t xml:space="preserve">6.2 Notebook pipeline (00 → 07)</w:t>
      </w:r>
    </w:p>
    <w:p>
      <w:pPr>
        <w:spacing w:after="30"/>
      </w:pPr>
    </w:p>
    <w:tbl>
      <w:tblPr>
        <w:tblW w:type="dxa" w:w="8550"/>
        <w:tblBorders>
          <w:top w:val="single" w:color="BBBBBB" w:sz="4"/>
          <w:left w:val="single" w:color="BBBBBB" w:sz="4"/>
          <w:bottom w:val="single" w:color="BBBBBB" w:sz="4"/>
          <w:right w:val="single" w:color="BBBBBB" w:sz="4"/>
          <w:insideH w:val="single" w:color="DDDDDD" w:sz="2"/>
          <w:insideV w:val="single" w:color="DDDDDD" w:sz="2"/>
        </w:tblBorders>
      </w:tblPr>
      <w:tblGrid>
        <w:gridCol w:w="820"/>
        <w:gridCol w:w="2650"/>
        <w:gridCol w:w="2400"/>
        <w:gridCol w:w="2680"/>
      </w:tblGrid>
      <w:tr>
        <w:trPr>
          <w:tblHeader/>
        </w:trPr>
        <w:tc>
          <w:tcPr>
            <w:tcW w:type="dxa" w:w="820"/>
            <w:shd w:fill="1F3864" w:color="auto" w:val="clear"/>
            <w:tcMar>
              <w:top w:type="dxa" w:w="55"/>
              <w:left w:type="dxa" w:w="90"/>
              <w:bottom w:type="dxa" w:w="55"/>
              <w:right w:type="dxa" w:w="90"/>
            </w:tcMar>
          </w:tcPr>
          <w:p>
            <w:pPr>
              <w:spacing w:after="0" w:line="250"/>
              <w:jc w:val="left"/>
            </w:pPr>
            <w:r>
              <w:rPr>
                <w:b/>
                <w:bCs/>
                <w:color w:val="FFFFFF"/>
                <w:sz w:val="19"/>
                <w:szCs w:val="19"/>
              </w:rPr>
              <w:t xml:space="preserve">#</w:t>
            </w:r>
          </w:p>
        </w:tc>
        <w:tc>
          <w:tcPr>
            <w:tcW w:type="dxa" w:w="2650"/>
            <w:shd w:fill="1F3864" w:color="auto" w:val="clear"/>
            <w:tcMar>
              <w:top w:type="dxa" w:w="55"/>
              <w:left w:type="dxa" w:w="90"/>
              <w:bottom w:type="dxa" w:w="55"/>
              <w:right w:type="dxa" w:w="90"/>
            </w:tcMar>
          </w:tcPr>
          <w:p>
            <w:pPr>
              <w:spacing w:after="0" w:line="250"/>
              <w:jc w:val="left"/>
            </w:pPr>
            <w:r>
              <w:rPr>
                <w:b/>
                <w:bCs/>
                <w:color w:val="FFFFFF"/>
                <w:sz w:val="19"/>
                <w:szCs w:val="19"/>
              </w:rPr>
              <w:t xml:space="preserve">Notebook</w:t>
            </w:r>
          </w:p>
        </w:tc>
        <w:tc>
          <w:tcPr>
            <w:tcW w:type="dxa" w:w="2400"/>
            <w:shd w:fill="1F3864" w:color="auto" w:val="clear"/>
            <w:tcMar>
              <w:top w:type="dxa" w:w="55"/>
              <w:left w:type="dxa" w:w="90"/>
              <w:bottom w:type="dxa" w:w="55"/>
              <w:right w:type="dxa" w:w="90"/>
            </w:tcMar>
          </w:tcPr>
          <w:p>
            <w:pPr>
              <w:spacing w:after="0" w:line="250"/>
              <w:jc w:val="left"/>
            </w:pPr>
            <w:r>
              <w:rPr>
                <w:b/>
                <w:bCs/>
                <w:color w:val="FFFFFF"/>
                <w:sz w:val="19"/>
                <w:szCs w:val="19"/>
              </w:rPr>
              <w:t xml:space="preserve">Covered conditions</w:t>
            </w:r>
          </w:p>
        </w:tc>
        <w:tc>
          <w:tcPr>
            <w:tcW w:type="dxa" w:w="2680"/>
            <w:shd w:fill="1F3864" w:color="auto" w:val="clear"/>
            <w:tcMar>
              <w:top w:type="dxa" w:w="55"/>
              <w:left w:type="dxa" w:w="90"/>
              <w:bottom w:type="dxa" w:w="55"/>
              <w:right w:type="dxa" w:w="90"/>
            </w:tcMar>
          </w:tcPr>
          <w:p>
            <w:pPr>
              <w:spacing w:after="0" w:line="250"/>
              <w:jc w:val="left"/>
            </w:pPr>
            <w:r>
              <w:rPr>
                <w:b/>
                <w:bCs/>
                <w:color w:val="FFFFFF"/>
                <w:sz w:val="19"/>
                <w:szCs w:val="19"/>
              </w:rPr>
              <w:t xml:space="preserve">Purpose</w:t>
            </w:r>
          </w:p>
        </w:tc>
      </w:tr>
      <w:tr>
        <w:tc>
          <w:tcPr>
            <w:tcW w:type="dxa" w:w="820"/>
            <w:shd w:fill="FFFFFF" w:color="auto" w:val="clear"/>
            <w:tcMar>
              <w:top w:type="dxa" w:w="55"/>
              <w:left w:type="dxa" w:w="90"/>
              <w:bottom w:type="dxa" w:w="55"/>
              <w:right w:type="dxa" w:w="90"/>
            </w:tcMar>
          </w:tcPr>
          <w:p>
            <w:pPr>
              <w:spacing w:after="0" w:line="250"/>
              <w:jc w:val="left"/>
            </w:pPr>
            <w:r>
              <w:rPr>
                <w:color w:val="222222"/>
                <w:sz w:val="18"/>
                <w:szCs w:val="18"/>
              </w:rPr>
              <w:t xml:space="preserve">00</w:t>
            </w:r>
          </w:p>
        </w:tc>
        <w:tc>
          <w:tcPr>
            <w:tcW w:type="dxa" w:w="2650"/>
            <w:shd w:fill="FFFFFF" w:color="auto" w:val="clear"/>
            <w:tcMar>
              <w:top w:type="dxa" w:w="55"/>
              <w:left w:type="dxa" w:w="90"/>
              <w:bottom w:type="dxa" w:w="55"/>
              <w:right w:type="dxa" w:w="90"/>
            </w:tcMar>
          </w:tcPr>
          <w:p>
            <w:pPr>
              <w:spacing w:after="0" w:line="250"/>
              <w:jc w:val="left"/>
            </w:pPr>
            <w:r>
              <w:rPr>
                <w:color w:val="222222"/>
                <w:sz w:val="18"/>
                <w:szCs w:val="18"/>
              </w:rPr>
              <w:t xml:space="preserve">setup_and_data</w:t>
            </w:r>
          </w:p>
        </w:tc>
        <w:tc>
          <w:tcPr>
            <w:tcW w:type="dxa" w:w="2400"/>
            <w:shd w:fill="FFFFFF" w:color="auto" w:val="clear"/>
            <w:tcMar>
              <w:top w:type="dxa" w:w="55"/>
              <w:left w:type="dxa" w:w="90"/>
              <w:bottom w:type="dxa" w:w="55"/>
              <w:right w:type="dxa" w:w="90"/>
            </w:tcMar>
          </w:tcPr>
          <w:p>
            <w:pPr>
              <w:spacing w:after="0" w:line="250"/>
              <w:jc w:val="left"/>
            </w:pPr>
            <w:r>
              <w:rPr>
                <w:color w:val="222222"/>
                <w:sz w:val="18"/>
                <w:szCs w:val="18"/>
              </w:rPr>
              <w:t xml:space="preserve">—</w:t>
            </w:r>
          </w:p>
        </w:tc>
        <w:tc>
          <w:tcPr>
            <w:tcW w:type="dxa" w:w="2680"/>
            <w:shd w:fill="FFFFFF" w:color="auto" w:val="clear"/>
            <w:tcMar>
              <w:top w:type="dxa" w:w="55"/>
              <w:left w:type="dxa" w:w="90"/>
              <w:bottom w:type="dxa" w:w="55"/>
              <w:right w:type="dxa" w:w="90"/>
            </w:tcMar>
          </w:tcPr>
          <w:p>
            <w:pPr>
              <w:spacing w:after="0" w:line="250"/>
              <w:jc w:val="left"/>
            </w:pPr>
            <w:r>
              <w:rPr>
                <w:color w:val="222222"/>
                <w:sz w:val="18"/>
                <w:szCs w:val="18"/>
              </w:rPr>
              <w:t xml:space="preserve">Environment setup, repo cloning, data prep, normalization conventions</w:t>
            </w:r>
          </w:p>
        </w:tc>
      </w:tr>
      <w:tr>
        <w:tc>
          <w:tcPr>
            <w:tcW w:type="dxa" w:w="820"/>
            <w:shd w:fill="E8EEF7" w:color="auto" w:val="clear"/>
            <w:tcMar>
              <w:top w:type="dxa" w:w="55"/>
              <w:left w:type="dxa" w:w="90"/>
              <w:bottom w:type="dxa" w:w="55"/>
              <w:right w:type="dxa" w:w="90"/>
            </w:tcMar>
          </w:tcPr>
          <w:p>
            <w:pPr>
              <w:spacing w:after="0" w:line="250"/>
              <w:jc w:val="left"/>
            </w:pPr>
            <w:r>
              <w:rPr>
                <w:color w:val="222222"/>
                <w:sz w:val="18"/>
                <w:szCs w:val="18"/>
              </w:rPr>
              <w:t xml:space="preserve">01</w:t>
            </w:r>
          </w:p>
        </w:tc>
        <w:tc>
          <w:tcPr>
            <w:tcW w:type="dxa" w:w="2650"/>
            <w:shd w:fill="E8EEF7" w:color="auto" w:val="clear"/>
            <w:tcMar>
              <w:top w:type="dxa" w:w="55"/>
              <w:left w:type="dxa" w:w="90"/>
              <w:bottom w:type="dxa" w:w="55"/>
              <w:right w:type="dxa" w:w="90"/>
            </w:tcMar>
          </w:tcPr>
          <w:p>
            <w:pPr>
              <w:spacing w:after="0" w:line="250"/>
              <w:jc w:val="left"/>
            </w:pPr>
            <w:r>
              <w:rPr>
                <w:color w:val="222222"/>
                <w:sz w:val="18"/>
                <w:szCs w:val="18"/>
              </w:rPr>
              <w:t xml:space="preserve">baseline_reproduce</w:t>
            </w:r>
          </w:p>
        </w:tc>
        <w:tc>
          <w:tcPr>
            <w:tcW w:type="dxa" w:w="2400"/>
            <w:shd w:fill="E8EEF7" w:color="auto" w:val="clear"/>
            <w:tcMar>
              <w:top w:type="dxa" w:w="55"/>
              <w:left w:type="dxa" w:w="90"/>
              <w:bottom w:type="dxa" w:w="55"/>
              <w:right w:type="dxa" w:w="90"/>
            </w:tcMar>
          </w:tcPr>
          <w:p>
            <w:pPr>
              <w:spacing w:after="0" w:line="250"/>
              <w:jc w:val="left"/>
            </w:pPr>
            <w:r>
              <w:rPr>
                <w:color w:val="222222"/>
                <w:sz w:val="18"/>
                <w:szCs w:val="18"/>
              </w:rPr>
              <w:t xml:space="preserve">B0–B3</w:t>
            </w:r>
          </w:p>
        </w:tc>
        <w:tc>
          <w:tcPr>
            <w:tcW w:type="dxa" w:w="2680"/>
            <w:shd w:fill="E8EEF7" w:color="auto" w:val="clear"/>
            <w:tcMar>
              <w:top w:type="dxa" w:w="55"/>
              <w:left w:type="dxa" w:w="90"/>
              <w:bottom w:type="dxa" w:w="55"/>
              <w:right w:type="dxa" w:w="90"/>
            </w:tcMar>
          </w:tcPr>
          <w:p>
            <w:pPr>
              <w:spacing w:after="0" w:line="250"/>
              <w:jc w:val="left"/>
            </w:pPr>
            <w:r>
              <w:rPr>
                <w:color w:val="222222"/>
                <w:sz w:val="18"/>
                <w:szCs w:val="18"/>
              </w:rPr>
              <w:t xml:space="preserve">ResNet-50, AlexNet, VOneResNet-50, CORnet-S baseline’ları</w:t>
            </w:r>
          </w:p>
        </w:tc>
      </w:tr>
      <w:tr>
        <w:tc>
          <w:tcPr>
            <w:tcW w:type="dxa" w:w="820"/>
            <w:shd w:fill="FFFFFF" w:color="auto" w:val="clear"/>
            <w:tcMar>
              <w:top w:type="dxa" w:w="55"/>
              <w:left w:type="dxa" w:w="90"/>
              <w:bottom w:type="dxa" w:w="55"/>
              <w:right w:type="dxa" w:w="90"/>
            </w:tcMar>
          </w:tcPr>
          <w:p>
            <w:pPr>
              <w:spacing w:after="0" w:line="250"/>
              <w:jc w:val="left"/>
            </w:pPr>
            <w:r>
              <w:rPr>
                <w:color w:val="222222"/>
                <w:sz w:val="18"/>
                <w:szCs w:val="18"/>
              </w:rPr>
              <w:t xml:space="preserve">02</w:t>
            </w:r>
          </w:p>
        </w:tc>
        <w:tc>
          <w:tcPr>
            <w:tcW w:type="dxa" w:w="2650"/>
            <w:shd w:fill="FFFFFF" w:color="auto" w:val="clear"/>
            <w:tcMar>
              <w:top w:type="dxa" w:w="55"/>
              <w:left w:type="dxa" w:w="90"/>
              <w:bottom w:type="dxa" w:w="55"/>
              <w:right w:type="dxa" w:w="90"/>
            </w:tcMar>
          </w:tcPr>
          <w:p>
            <w:pPr>
              <w:spacing w:after="0" w:line="250"/>
              <w:jc w:val="left"/>
            </w:pPr>
            <w:r>
              <w:rPr>
                <w:color w:val="222222"/>
                <w:sz w:val="18"/>
                <w:szCs w:val="18"/>
              </w:rPr>
              <w:t xml:space="preserve">foveation_rblur_and_periphery</w:t>
            </w:r>
          </w:p>
        </w:tc>
        <w:tc>
          <w:tcPr>
            <w:tcW w:type="dxa" w:w="2400"/>
            <w:shd w:fill="FFFFFF" w:color="auto" w:val="clear"/>
            <w:tcMar>
              <w:top w:type="dxa" w:w="55"/>
              <w:left w:type="dxa" w:w="90"/>
              <w:bottom w:type="dxa" w:w="55"/>
              <w:right w:type="dxa" w:w="90"/>
            </w:tcMar>
          </w:tcPr>
          <w:p>
            <w:pPr>
              <w:spacing w:after="0" w:line="250"/>
              <w:jc w:val="left"/>
            </w:pPr>
            <w:r>
              <w:rPr>
                <w:color w:val="222222"/>
                <w:sz w:val="18"/>
                <w:szCs w:val="18"/>
              </w:rPr>
              <w:t xml:space="preserve">A1–A6, E1–E3</w:t>
            </w:r>
          </w:p>
        </w:tc>
        <w:tc>
          <w:tcPr>
            <w:tcW w:type="dxa" w:w="2680"/>
            <w:shd w:fill="FFFFFF" w:color="auto" w:val="clear"/>
            <w:tcMar>
              <w:top w:type="dxa" w:w="55"/>
              <w:left w:type="dxa" w:w="90"/>
              <w:bottom w:type="dxa" w:w="55"/>
              <w:right w:type="dxa" w:w="90"/>
            </w:tcMar>
          </w:tcPr>
          <w:p>
            <w:pPr>
              <w:spacing w:after="0" w:line="250"/>
              <w:jc w:val="left"/>
            </w:pPr>
            <w:r>
              <w:rPr>
                <w:color w:val="222222"/>
                <w:sz w:val="18"/>
                <w:szCs w:val="18"/>
              </w:rPr>
              <w:t xml:space="preserve">Foveation &amp; periphery </w:t>
            </w:r>
            <t>(original contribution)</t>
          </w:p>
        </w:tc>
      </w:tr>
      <w:tr>
        <w:tc>
          <w:tcPr>
            <w:tcW w:type="dxa" w:w="820"/>
            <w:shd w:fill="E8EEF7" w:color="auto" w:val="clear"/>
            <w:tcMar>
              <w:top w:type="dxa" w:w="55"/>
              <w:left w:type="dxa" w:w="90"/>
              <w:bottom w:type="dxa" w:w="55"/>
              <w:right w:type="dxa" w:w="90"/>
            </w:tcMar>
          </w:tcPr>
          <w:p>
            <w:pPr>
              <w:spacing w:after="0" w:line="250"/>
              <w:jc w:val="left"/>
            </w:pPr>
            <w:r>
              <w:rPr>
                <w:color w:val="222222"/>
                <w:sz w:val="18"/>
                <w:szCs w:val="18"/>
              </w:rPr>
              <w:t xml:space="preserve">03</w:t>
            </w:r>
          </w:p>
        </w:tc>
        <w:tc>
          <w:tcPr>
            <w:tcW w:type="dxa" w:w="2650"/>
            <w:shd w:fill="E8EEF7" w:color="auto" w:val="clear"/>
            <w:tcMar>
              <w:top w:type="dxa" w:w="55"/>
              <w:left w:type="dxa" w:w="90"/>
              <w:bottom w:type="dxa" w:w="55"/>
              <w:right w:type="dxa" w:w="90"/>
            </w:tcMar>
          </w:tcPr>
          <w:p>
            <w:pPr>
              <w:spacing w:after="0" w:line="250"/>
              <w:jc w:val="left"/>
            </w:pPr>
            <w:r>
              <w:rPr>
                <w:color w:val="222222"/>
                <w:sz w:val="18"/>
                <w:szCs w:val="18"/>
              </w:rPr>
              <w:t xml:space="preserve">v1_block</w:t>
            </w:r>
          </w:p>
        </w:tc>
        <w:tc>
          <w:tcPr>
            <w:tcW w:type="dxa" w:w="2400"/>
            <w:shd w:fill="E8EEF7" w:color="auto" w:val="clear"/>
            <w:tcMar>
              <w:top w:type="dxa" w:w="55"/>
              <w:left w:type="dxa" w:w="90"/>
              <w:bottom w:type="dxa" w:w="55"/>
              <w:right w:type="dxa" w:w="90"/>
            </w:tcMar>
          </w:tcPr>
          <w:p>
            <w:pPr>
              <w:spacing w:after="0" w:line="250"/>
              <w:jc w:val="left"/>
            </w:pPr>
            <w:r>
              <w:rPr>
                <w:color w:val="222222"/>
                <w:sz w:val="18"/>
                <w:szCs w:val="18"/>
              </w:rPr>
              <w:t xml:space="preserve">B7–B9, B12–B13</w:t>
            </w:r>
          </w:p>
        </w:tc>
        <w:tc>
          <w:tcPr>
            <w:tcW w:type="dxa" w:w="2680"/>
            <w:shd w:fill="E8EEF7" w:color="auto" w:val="clear"/>
            <w:tcMar>
              <w:top w:type="dxa" w:w="55"/>
              <w:left w:type="dxa" w:w="90"/>
              <w:bottom w:type="dxa" w:w="55"/>
              <w:right w:type="dxa" w:w="90"/>
            </w:tcMar>
          </w:tcPr>
          <w:p>
            <w:pPr>
              <w:spacing w:after="0" w:line="250"/>
              <w:jc w:val="left"/>
            </w:pPr>
            <w:r>
              <w:rPr>
                <w:color w:val="222222"/>
                <w:sz w:val="18"/>
                <w:szCs w:val="18"/>
              </w:rPr>
              <w:t xml:space="preserve">V1 front-end ve ventral back-end ablation’ları</w:t>
            </w:r>
          </w:p>
        </w:tc>
      </w:tr>
      <w:tr>
        <w:tc>
          <w:tcPr>
            <w:tcW w:type="dxa" w:w="820"/>
            <w:shd w:fill="FFFFFF" w:color="auto" w:val="clear"/>
            <w:tcMar>
              <w:top w:type="dxa" w:w="55"/>
              <w:left w:type="dxa" w:w="90"/>
              <w:bottom w:type="dxa" w:w="55"/>
              <w:right w:type="dxa" w:w="90"/>
            </w:tcMar>
          </w:tcPr>
          <w:p>
            <w:pPr>
              <w:spacing w:after="0" w:line="250"/>
              <w:jc w:val="left"/>
            </w:pPr>
            <w:r>
              <w:rPr>
                <w:color w:val="222222"/>
                <w:sz w:val="18"/>
                <w:szCs w:val="18"/>
              </w:rPr>
              <w:t xml:space="preserve">04</w:t>
            </w:r>
          </w:p>
        </w:tc>
        <w:tc>
          <w:tcPr>
            <w:tcW w:type="dxa" w:w="2650"/>
            <w:shd w:fill="FFFFFF" w:color="auto" w:val="clear"/>
            <w:tcMar>
              <w:top w:type="dxa" w:w="55"/>
              <w:left w:type="dxa" w:w="90"/>
              <w:bottom w:type="dxa" w:w="55"/>
              <w:right w:type="dxa" w:w="90"/>
            </w:tcMar>
          </w:tcPr>
          <w:p>
            <w:pPr>
              <w:spacing w:after="0" w:line="250"/>
              <w:jc w:val="left"/>
            </w:pPr>
            <w:r>
              <w:rPr>
                <w:color w:val="222222"/>
                <w:sz w:val="18"/>
                <w:szCs w:val="18"/>
              </w:rPr>
              <w:t xml:space="preserve">it_feedback_multiglance</w:t>
            </w:r>
          </w:p>
        </w:tc>
        <w:tc>
          <w:tcPr>
            <w:tcW w:type="dxa" w:w="2400"/>
            <w:shd w:fill="FFFFFF" w:color="auto" w:val="clear"/>
            <w:tcMar>
              <w:top w:type="dxa" w:w="55"/>
              <w:left w:type="dxa" w:w="90"/>
              <w:bottom w:type="dxa" w:w="55"/>
              <w:right w:type="dxa" w:w="90"/>
            </w:tcMar>
          </w:tcPr>
          <w:p>
            <w:pPr>
              <w:spacing w:after="0" w:line="250"/>
              <w:jc w:val="left"/>
            </w:pPr>
            <w:r>
              <w:rPr>
                <w:color w:val="222222"/>
                <w:sz w:val="18"/>
                <w:szCs w:val="18"/>
              </w:rPr>
              <w:t xml:space="preserve">D1–D4</w:t>
            </w:r>
          </w:p>
        </w:tc>
        <w:tc>
          <w:tcPr>
            <w:tcW w:type="dxa" w:w="2680"/>
            <w:shd w:fill="FFFFFF" w:color="auto" w:val="clear"/>
            <w:tcMar>
              <w:top w:type="dxa" w:w="55"/>
              <w:left w:type="dxa" w:w="90"/>
              <w:bottom w:type="dxa" w:w="55"/>
              <w:right w:type="dxa" w:w="90"/>
            </w:tcMar>
          </w:tcPr>
          <w:p>
            <w:pPr>
              <w:spacing w:after="0" w:line="250"/>
              <w:jc w:val="left"/>
            </w:pPr>
            <w:r>
              <w:rPr>
                <w:color w:val="222222"/>
                <w:sz w:val="18"/>
                <w:szCs w:val="18"/>
              </w:rPr>
              <w:t xml:space="preserve">IT-feedback ve multi-glance loop</w:t>
            </w:r>
          </w:p>
        </w:tc>
      </w:tr>
      <w:tr>
        <w:tc>
          <w:tcPr>
            <w:tcW w:type="dxa" w:w="820"/>
            <w:shd w:fill="E8EEF7" w:color="auto" w:val="clear"/>
            <w:tcMar>
              <w:top w:type="dxa" w:w="55"/>
              <w:left w:type="dxa" w:w="90"/>
              <w:bottom w:type="dxa" w:w="55"/>
              <w:right w:type="dxa" w:w="90"/>
            </w:tcMar>
          </w:tcPr>
          <w:p>
            <w:pPr>
              <w:spacing w:after="0" w:line="250"/>
              <w:jc w:val="left"/>
            </w:pPr>
            <w:r>
              <w:rPr>
                <w:color w:val="222222"/>
                <w:sz w:val="18"/>
                <w:szCs w:val="18"/>
              </w:rPr>
              <w:t xml:space="preserve">05</w:t>
            </w:r>
          </w:p>
        </w:tc>
        <w:tc>
          <w:tcPr>
            <w:tcW w:type="dxa" w:w="2650"/>
            <w:shd w:fill="E8EEF7" w:color="auto" w:val="clear"/>
            <w:tcMar>
              <w:top w:type="dxa" w:w="55"/>
              <w:left w:type="dxa" w:w="90"/>
              <w:bottom w:type="dxa" w:w="55"/>
              <w:right w:type="dxa" w:w="90"/>
            </w:tcMar>
          </w:tcPr>
          <w:p>
            <w:pPr>
              <w:spacing w:after="0" w:line="250"/>
              <w:jc w:val="left"/>
            </w:pPr>
            <w:r>
              <w:rPr>
                <w:color w:val="222222"/>
                <w:sz w:val="18"/>
                <w:szCs w:val="18"/>
              </w:rPr>
              <w:t xml:space="preserve">mftma_certification</w:t>
            </w:r>
          </w:p>
        </w:tc>
        <w:tc>
          <w:tcPr>
            <w:tcW w:type="dxa" w:w="2400"/>
            <w:shd w:fill="E8EEF7" w:color="auto" w:val="clear"/>
            <w:tcMar>
              <w:top w:type="dxa" w:w="55"/>
              <w:left w:type="dxa" w:w="90"/>
              <w:bottom w:type="dxa" w:w="55"/>
              <w:right w:type="dxa" w:w="90"/>
            </w:tcMar>
          </w:tcPr>
          <w:p>
            <w:pPr>
              <w:spacing w:after="0" w:line="250"/>
              <w:jc w:val="left"/>
            </w:pPr>
            <w:r>
              <w:rPr>
                <w:color w:val="222222"/>
                <w:sz w:val="18"/>
                <w:szCs w:val="18"/>
              </w:rPr>
              <w:t xml:space="preserve">all conditions × MFTMA</w:t>
            </w:r>
          </w:p>
        </w:tc>
        <w:tc>
          <w:tcPr>
            <w:tcW w:type="dxa" w:w="2680"/>
            <w:shd w:fill="E8EEF7" w:color="auto" w:val="clear"/>
            <w:tcMar>
              <w:top w:type="dxa" w:w="55"/>
              <w:left w:type="dxa" w:w="90"/>
              <w:bottom w:type="dxa" w:w="55"/>
              <w:right w:type="dxa" w:w="90"/>
            </w:tcMar>
          </w:tcPr>
          <w:p>
            <w:pPr>
              <w:spacing w:after="0" w:line="250"/>
              <w:jc w:val="left"/>
            </w:pPr>
            <w:r>
              <w:rPr>
                <w:color w:val="222222"/>
                <w:sz w:val="18"/>
                <w:szCs w:val="18"/>
              </w:rPr>
              <w:t xml:space="preserve">Geometric certification + metamer recognizability</w:t>
            </w:r>
          </w:p>
        </w:tc>
      </w:tr>
      <w:tr>
        <w:tc>
          <w:tcPr>
            <w:tcW w:type="dxa" w:w="820"/>
            <w:shd w:fill="FFFFFF" w:color="auto" w:val="clear"/>
            <w:tcMar>
              <w:top w:type="dxa" w:w="55"/>
              <w:left w:type="dxa" w:w="90"/>
              <w:bottom w:type="dxa" w:w="55"/>
              <w:right w:type="dxa" w:w="90"/>
            </w:tcMar>
          </w:tcPr>
          <w:p>
            <w:pPr>
              <w:spacing w:after="0" w:line="250"/>
              <w:jc w:val="left"/>
            </w:pPr>
            <w:r>
              <w:rPr>
                <w:color w:val="222222"/>
                <w:sz w:val="18"/>
                <w:szCs w:val="18"/>
              </w:rPr>
              <w:t xml:space="preserve">06</w:t>
            </w:r>
          </w:p>
        </w:tc>
        <w:tc>
          <w:tcPr>
            <w:tcW w:type="dxa" w:w="2650"/>
            <w:shd w:fill="FFFFFF" w:color="auto" w:val="clear"/>
            <w:tcMar>
              <w:top w:type="dxa" w:w="55"/>
              <w:left w:type="dxa" w:w="90"/>
              <w:bottom w:type="dxa" w:w="55"/>
              <w:right w:type="dxa" w:w="90"/>
            </w:tcMar>
          </w:tcPr>
          <w:p>
            <w:pPr>
              <w:spacing w:after="0" w:line="250"/>
              <w:jc w:val="left"/>
            </w:pPr>
            <w:r>
              <w:rPr>
                <w:color w:val="222222"/>
                <w:sz w:val="18"/>
                <w:szCs w:val="18"/>
              </w:rPr>
              <w:t xml:space="preserve">full_model_and_ablations</w:t>
            </w:r>
          </w:p>
        </w:tc>
        <w:tc>
          <w:tcPr>
            <w:tcW w:type="dxa" w:w="2400"/>
            <w:shd w:fill="FFFFFF" w:color="auto" w:val="clear"/>
            <w:tcMar>
              <w:top w:type="dxa" w:w="55"/>
              <w:left w:type="dxa" w:w="90"/>
              <w:bottom w:type="dxa" w:w="55"/>
              <w:right w:type="dxa" w:w="90"/>
            </w:tcMar>
          </w:tcPr>
          <w:p>
            <w:pPr>
              <w:spacing w:after="0" w:line="250"/>
              <w:jc w:val="left"/>
            </w:pPr>
            <w:r>
              <w:rPr>
                <w:color w:val="222222"/>
                <w:sz w:val="18"/>
                <w:szCs w:val="18"/>
              </w:rPr>
              <w:t xml:space="preserve">Full model + leave-one-out</w:t>
            </w:r>
          </w:p>
        </w:tc>
        <w:tc>
          <w:tcPr>
            <w:tcW w:type="dxa" w:w="2680"/>
            <w:shd w:fill="FFFFFF" w:color="auto" w:val="clear"/>
            <w:tcMar>
              <w:top w:type="dxa" w:w="55"/>
              <w:left w:type="dxa" w:w="90"/>
              <w:bottom w:type="dxa" w:w="55"/>
              <w:right w:type="dxa" w:w="90"/>
            </w:tcMar>
          </w:tcPr>
          <w:p>
            <w:pPr>
              <w:spacing w:after="0" w:line="250"/>
              <w:jc w:val="left"/>
            </w:pPr>
            <w:r>
              <w:rPr>
                <w:color w:val="222222"/>
                <w:sz w:val="18"/>
                <w:szCs w:val="18"/>
              </w:rPr>
              <w:t xml:space="preserve">Component’ların marginal contribution özeti</w:t>
            </w:r>
          </w:p>
        </w:tc>
      </w:tr>
      <w:tr>
        <w:tc>
          <w:tcPr>
            <w:tcW w:type="dxa" w:w="820"/>
            <w:shd w:fill="E8EEF7" w:color="auto" w:val="clear"/>
            <w:tcMar>
              <w:top w:type="dxa" w:w="55"/>
              <w:left w:type="dxa" w:w="90"/>
              <w:bottom w:type="dxa" w:w="55"/>
              <w:right w:type="dxa" w:w="90"/>
            </w:tcMar>
          </w:tcPr>
          <w:p>
            <w:pPr>
              <w:spacing w:after="0" w:line="250"/>
              <w:jc w:val="left"/>
            </w:pPr>
            <w:r>
              <w:rPr>
                <w:color w:val="222222"/>
                <w:sz w:val="18"/>
                <w:szCs w:val="18"/>
              </w:rPr>
              <w:t xml:space="preserve">07</w:t>
            </w:r>
          </w:p>
        </w:tc>
        <w:tc>
          <w:tcPr>
            <w:tcW w:type="dxa" w:w="2650"/>
            <w:shd w:fill="E8EEF7" w:color="auto" w:val="clear"/>
            <w:tcMar>
              <w:top w:type="dxa" w:w="55"/>
              <w:left w:type="dxa" w:w="90"/>
              <w:bottom w:type="dxa" w:w="55"/>
              <w:right w:type="dxa" w:w="90"/>
            </w:tcMar>
          </w:tcPr>
          <w:p>
            <w:pPr>
              <w:spacing w:after="0" w:line="250"/>
              <w:jc w:val="left"/>
            </w:pPr>
            <w:r>
              <w:rPr>
                <w:color w:val="222222"/>
                <w:sz w:val="18"/>
                <w:szCs w:val="18"/>
              </w:rPr>
              <w:t xml:space="preserve">cifar10_and_cifar10c_evaluation</w:t>
            </w:r>
          </w:p>
        </w:tc>
        <w:tc>
          <w:tcPr>
            <w:tcW w:type="dxa" w:w="2400"/>
            <w:shd w:fill="E8EEF7" w:color="auto" w:val="clear"/>
            <w:tcMar>
              <w:top w:type="dxa" w:w="55"/>
              <w:left w:type="dxa" w:w="90"/>
              <w:bottom w:type="dxa" w:w="55"/>
              <w:right w:type="dxa" w:w="90"/>
            </w:tcMar>
          </w:tcPr>
          <w:p>
            <w:pPr>
              <w:spacing w:after="0" w:line="250"/>
              <w:jc w:val="left"/>
            </w:pPr>
            <w:r>
              <w:rPr>
                <w:color w:val="222222"/>
                <w:sz w:val="18"/>
                <w:szCs w:val="18"/>
              </w:rPr>
              <w:t xml:space="preserve">Selected conditions</w:t>
            </w:r>
          </w:p>
        </w:tc>
        <w:tc>
          <w:tcPr>
            <w:tcW w:type="dxa" w:w="2680"/>
            <w:shd w:fill="E8EEF7" w:color="auto" w:val="clear"/>
            <w:tcMar>
              <w:top w:type="dxa" w:w="55"/>
              <w:left w:type="dxa" w:w="90"/>
              <w:bottom w:type="dxa" w:w="55"/>
              <w:right w:type="dxa" w:w="90"/>
            </w:tcMar>
          </w:tcPr>
          <w:p>
            <w:pPr>
              <w:spacing w:after="0" w:line="250"/>
              <w:jc w:val="left"/>
            </w:pPr>
            <w:r>
              <w:rPr>
                <w:color w:val="222222"/>
                <w:sz w:val="18"/>
                <w:szCs w:val="18"/>
              </w:rPr>
              <w:t xml:space="preserve">CIFAR-10 accuracy + CIFAR-10-C mCE + SNR sweep</w:t>
            </w:r>
          </w:p>
        </w:tc>
      </w:tr>
    </w:tbl>
    <w:p>
      <w:pPr>
        <w:spacing w:after="50"/>
      </w:pPr>
    </w:p>
    <w:p>
      <w:pPr>
        <w:spacing w:after="120" w:line="276"/>
      </w:pPr>
      <w:r>
        <w:rPr>
          <w:color w:val="222222"/>
          <w:sz w:val="21"/>
          <w:szCs w:val="21"/>
        </w:rPr>
        <w:t xml:space="preserve">Her notebook çıktısını </w:t>
      </w:r>
      <w:r>
        <w:rPr>
          <w:i/>
          <w:iCs/>
          <w:color w:val="222222"/>
          <w:sz w:val="21"/>
          <w:szCs w:val="21"/>
        </w:rPr>
        <w:t xml:space="preserve">results/NN_*.json</w:t>
      </w:r>
      <w:r>
        <w:rPr>
          <w:color w:val="222222"/>
          <w:sz w:val="21"/>
          <w:szCs w:val="21"/>
        </w:rPr>
        <w:t xml:space="preserve"> ve </w:t>
      </w:r>
      <w:r>
        <w:rPr>
          <w:i/>
          <w:iCs/>
          <w:color w:val="222222"/>
          <w:sz w:val="21"/>
          <w:szCs w:val="21"/>
        </w:rPr>
        <w:t xml:space="preserve">results/NN_*.png</w:t>
      </w:r>
      <w:r>
        <w:rPr>
          <w:color w:val="222222"/>
          <w:sz w:val="21"/>
          <w:szCs w:val="21"/>
        </w:rPr>
        <w:t xml:space="preserve"> olarak yazar; bir sonraki notebook bunu okur. </w:t>
      </w:r>
      <w:r>
        <w:rPr>
          <w:i/>
          <w:iCs/>
          <w:color w:val="222222"/>
          <w:sz w:val="21"/>
          <w:szCs w:val="21"/>
        </w:rPr>
        <w:t xml:space="preserve">CFG['smoke_test']=True</w:t>
      </w:r>
      <w:r>
        <w:rPr>
          <w:color w:val="222222"/>
          <w:sz w:val="21"/>
          <w:szCs w:val="21"/>
        </w:rPr>
        <w:t xml:space="preserve"> ile herhangi bir notebook 1–2 iteration’lık hızlı bir sanity check’e indirgenebilir.</w:t>
      </w:r>
    </w:p>
    <w:p>
      <w:pPr>
        <w:pStyle w:val="Heading2"/>
        <w:spacing w:after="90" w:before="220"/>
      </w:pPr>
      <w:r>
        <w:rPr>
          <w:b/>
          <w:bCs/>
          <w:color w:val="2E5496"/>
        </w:rPr>
        <w:t xml:space="preserve">6.3 Shared modules (src/)</w:t>
      </w:r>
    </w:p>
    <w:p>
      <w:pPr>
        <w:pStyle w:val="ListParagraph"/>
        <w:numPr>
          <w:ilvl w:val="0"/>
          <w:numId w:val="1"/>
        </w:numPr>
        <w:spacing w:after="70" w:line="270"/>
      </w:pPr>
      <w:r>
        <w:rPr>
          <w:i/>
          <w:iCs/>
          <w:color w:val="222222"/>
          <w:sz w:val="21"/>
          <w:szCs w:val="21"/>
        </w:rPr>
        <w:t xml:space="preserve">common.py — </w:t>
      </w:r>
      <w:r>
        <w:rPr>
          <w:color w:val="222222"/>
          <w:sz w:val="21"/>
          <w:szCs w:val="21"/>
        </w:rPr>
        <w:t xml:space="preserve">seeding, config/checkpoint I/O, environment stamp (deterministic cuDNN dahil).</w:t>
      </w:r>
    </w:p>
    <w:p>
      <w:pPr>
        <w:pStyle w:val="ListParagraph"/>
        <w:numPr>
          <w:ilvl w:val="0"/>
          <w:numId w:val="1"/>
        </w:numPr>
        <w:spacing w:after="70" w:line="270"/>
      </w:pPr>
      <w:r>
        <w:rPr>
          <w:i/>
          <w:iCs/>
          <w:color w:val="222222"/>
          <w:sz w:val="21"/>
          <w:szCs w:val="21"/>
        </w:rPr>
        <w:t xml:space="preserve">datasets.py — </w:t>
      </w:r>
      <w:r>
        <w:rPr>
          <w:color w:val="222222"/>
          <w:sz w:val="21"/>
          <w:szCs w:val="21"/>
        </w:rPr>
        <w:t xml:space="preserve">data prep ve iki normalization convention (VOneNet ailesi 0.5/0.5 ↔ standard ImageNet statistics; yanlış seçim sessizce accuracy’yi düşürür).</w:t>
      </w:r>
    </w:p>
    <w:p>
      <w:pPr>
        <w:pStyle w:val="ListParagraph"/>
        <w:numPr>
          <w:ilvl w:val="0"/>
          <w:numId w:val="1"/>
        </w:numPr>
        <w:spacing w:after="70" w:line="270"/>
      </w:pPr>
      <w:r>
        <w:rPr>
          <w:i/>
          <w:iCs/>
          <w:color w:val="222222"/>
          <w:sz w:val="21"/>
          <w:szCs w:val="21"/>
        </w:rPr>
        <w:t xml:space="preserve">foveation.py — </w:t>
      </w:r>
      <w:r>
        <w:rPr>
          <w:color w:val="222222"/>
          <w:sz w:val="21"/>
          <w:szCs w:val="21"/>
        </w:rPr>
        <w:t xml:space="preserve">R-Blur, Watson pooling scale, SNR(r) profile, trace-based periphery synthesis (AdaIN tabanlı).</w:t>
      </w:r>
    </w:p>
    <w:p>
      <w:pPr>
        <w:pStyle w:val="ListParagraph"/>
        <w:numPr>
          <w:ilvl w:val="0"/>
          <w:numId w:val="1"/>
        </w:numPr>
        <w:spacing w:after="70" w:line="270"/>
      </w:pPr>
      <w:r>
        <w:rPr>
          <w:i/>
          <w:iCs/>
          <w:color w:val="222222"/>
          <w:sz w:val="21"/>
          <w:szCs w:val="21"/>
        </w:rPr>
        <w:t xml:space="preserve">it_feedback.py — </w:t>
      </w:r>
      <w:r>
        <w:rPr>
          <w:color w:val="222222"/>
          <w:sz w:val="21"/>
          <w:szCs w:val="21"/>
        </w:rPr>
        <w:t xml:space="preserve">FoveatedModel loop, fixation policy, confidence/uncertainty halting.</w:t>
      </w:r>
    </w:p>
    <w:p>
      <w:pPr>
        <w:pStyle w:val="ListParagraph"/>
        <w:numPr>
          <w:ilvl w:val="0"/>
          <w:numId w:val="1"/>
        </w:numPr>
        <w:spacing w:after="70" w:line="270"/>
      </w:pPr>
      <w:r>
        <w:rPr>
          <w:i/>
          <w:iCs/>
          <w:color w:val="222222"/>
          <w:sz w:val="21"/>
          <w:szCs w:val="21"/>
        </w:rPr>
        <w:t xml:space="preserve">mftma.py — </w:t>
      </w:r>
      <w:r>
        <w:rPr>
          <w:color w:val="222222"/>
          <w:sz w:val="21"/>
          <w:szCs w:val="21"/>
        </w:rPr>
        <w:t xml:space="preserve">manifold capacity/radius/dimension wrapper (resmi replicaMFT paketi varsa onu, yoksa sklearn approximation’ını kullanır).</w:t>
      </w:r>
    </w:p>
    <w:p>
      <w:pPr>
        <w:pStyle w:val="ListParagraph"/>
        <w:numPr>
          <w:ilvl w:val="0"/>
          <w:numId w:val="1"/>
        </w:numPr>
        <w:spacing w:after="70" w:line="270"/>
      </w:pPr>
      <w:r>
        <w:rPr>
          <w:i/>
          <w:iCs/>
          <w:color w:val="222222"/>
          <w:sz w:val="21"/>
          <w:szCs w:val="21"/>
        </w:rPr>
        <w:t xml:space="preserve">eval_harness.py — </w:t>
      </w:r>
      <w:r>
        <w:rPr>
          <w:color w:val="222222"/>
          <w:sz w:val="21"/>
          <w:szCs w:val="21"/>
        </w:rPr>
        <w:t xml:space="preserve">ImageNet-C/CIFAR-10-C mCE, EOT’li PGD/APGD, Brain-Score bridge’leri, shape bias.</w:t>
      </w:r>
    </w:p>
    <w:p>
      <w:pPr>
        <w:pStyle w:val="Heading2"/>
        <w:spacing w:after="90" w:before="220"/>
      </w:pPr>
      <w:r>
        <w:rPr>
          <w:b/>
          <w:bCs/>
          <w:color w:val="2E5496"/>
        </w:rPr>
        <w:t xml:space="preserve">6.4 Datasets ve metrics</w:t>
      </w:r>
    </w:p>
    <w:p>
      <w:pPr>
        <w:spacing w:after="120" w:line="276"/>
      </w:pPr>
      <w:r>
        <w:rPr>
          <w:color w:val="222222"/>
          <w:sz w:val="21"/>
          <w:szCs w:val="21"/>
        </w:rPr>
        <w:t xml:space="preserve">Methodological rule: her ablation önce CIFAR-10 üzerinde hızlıca doğrulanır, sonra ImageNet’e scale edilir. Datasets: CIFAR-10 (fast prototype), ImageNet-1K (main scale), ImageNet-C / CIFAR-10-C (corruption/mCE), ImageNet-R &amp; Sketch (distribution shift), Stylized-ImageNet (shape bias), Brain-Score neural set’leri (V1/V2/V4/IT).</w:t>
      </w:r>
    </w:p>
    <w:p>
      <w:pPr>
        <w:spacing w:after="120" w:line="276"/>
      </w:pPr>
      <w:r>
        <w:rPr>
          <w:color w:val="222222"/>
          <w:sz w:val="21"/>
          <w:szCs w:val="21"/>
        </w:rPr>
        <w:t xml:space="preserve">Measurement axis’leri: clean accuracy; corruption robustness (mCE); adversarial robustness (PGD/APGD — stochastic model’lerde </w:t>
      </w:r>
      <w:r>
        <w:rPr>
          <w:i/>
          <w:iCs/>
          <w:color w:val="222222"/>
          <w:sz w:val="21"/>
          <w:szCs w:val="21"/>
        </w:rPr>
        <w:t xml:space="preserve">EOT-N, N≥10 zorunlu</w:t>
      </w:r>
      <w:r>
        <w:rPr>
          <w:color w:val="222222"/>
          <w:sz w:val="21"/>
          <w:szCs w:val="21"/>
        </w:rPr>
        <w:t xml:space="preserve">, spurious robustness/gradient masking’i önlemek için); Brain-Score predictivity; shape bias; metamer recognizability; ve geometric signature (MFTMA capacity/radius/dimension). Ana figür, metriklerin SNR(r) profile’ının fonksiyonu olarak çizilmesidir.</w:t>
      </w:r>
    </w:p>
    <w:p>
      <w:pPr>
        <w:pStyle w:val="Heading1"/>
        <w:spacing w:after="140" w:before="320"/>
      </w:pPr>
      <w:r>
        <w:rPr>
          <w:b/>
          <w:bCs/>
          <w:color w:val="1F3864"/>
        </w:rPr>
        <w:t xml:space="preserve">7. Geometric Certification (MFTMA)</w:t>
      </w:r>
    </w:p>
    <w:p>
      <w:pPr>
        <w:spacing w:after="120" w:line="276"/>
      </w:pPr>
      <w:r>
        <w:rPr>
          <w:color w:val="222222"/>
          <w:sz w:val="21"/>
          <w:szCs w:val="21"/>
        </w:rPr>
        <w:t xml:space="preserve">Accuracy ve Brain-Score’a ek olarak, her ablation’ın representational geometry’si MFTMA ile ölçülür. Selected layer’lardan (V1 output, ventral middle layer, IT readout) class-per-object manifold’lar çıkarılır ve capacity (αc), radius (Rm), dimension (Dm) ve center-correlation hesaplanır. Directly testable hypothesis: foveation + V1 noise + trace-based periphery + IT-feedback eklendikçe object manifold’lar daha separable hale gelmeli — yani higher capacity, lower radius/dimension. Böylece her koşul iki signature ile raporlanır: behavioral (accuracy/robustness) + geometric (capacity).</w:t>
      </w:r>
    </w:p>
    <w:p>
      <w:pPr>
        <w:pStyle w:val="Heading1"/>
        <w:spacing w:after="140" w:before="320"/>
      </w:pPr>
      <w:r>
        <w:rPr>
          <w:b/>
          <w:bCs/>
          <w:color w:val="1F3864"/>
        </w:rPr>
        <w:t xml:space="preserve">8. Leave-One-Out: Synergy Claim’inin Testi</w:t>
      </w:r>
    </w:p>
    <w:p>
      <w:pPr>
        <w:spacing w:after="120" w:line="276"/>
      </w:pPr>
      <w:r>
        <w:rPr>
          <w:color w:val="222222"/>
          <w:sz w:val="21"/>
          <w:szCs w:val="21"/>
        </w:rPr>
        <w:t xml:space="preserve">Full model’den her component’ı tek tek çıkararak marginal contribution ölçülür. Bu tablo, tezin ana contribution claim’i için tek bakışta evidence sağlar.</w:t>
      </w:r>
    </w:p>
    <w:p>
      <w:pPr>
        <w:spacing w:after="40"/>
      </w:pPr>
    </w:p>
    <w:tbl>
      <w:tblPr>
        <w:tblW w:type="dxa" w:w="8500"/>
        <w:tblBorders>
          <w:top w:val="single" w:color="BBBBBB" w:sz="4"/>
          <w:left w:val="single" w:color="BBBBBB" w:sz="4"/>
          <w:bottom w:val="single" w:color="BBBBBB" w:sz="4"/>
          <w:right w:val="single" w:color="BBBBBB" w:sz="4"/>
          <w:insideH w:val="single" w:color="DDDDDD" w:sz="2"/>
          <w:insideV w:val="single" w:color="DDDDDD" w:sz="2"/>
        </w:tblBorders>
      </w:tblPr>
      <w:tblGrid>
        <w:gridCol w:w="1900"/>
        <w:gridCol w:w="3200"/>
        <w:gridCol w:w="3400"/>
      </w:tblGrid>
      <w:tr>
        <w:trPr>
          <w:tblHeader/>
        </w:trPr>
        <w:tc>
          <w:tcPr>
            <w:tcW w:type="dxa" w:w="1900"/>
            <w:shd w:fill="1F3864" w:color="auto" w:val="clear"/>
            <w:tcMar>
              <w:top w:type="dxa" w:w="55"/>
              <w:left w:type="dxa" w:w="90"/>
              <w:bottom w:type="dxa" w:w="55"/>
              <w:right w:type="dxa" w:w="90"/>
            </w:tcMar>
          </w:tcPr>
          <w:p>
            <w:pPr>
              <w:spacing w:after="0" w:line="250"/>
              <w:jc w:val="left"/>
            </w:pPr>
            <w:r>
              <w:rPr>
                <w:b/>
                <w:bCs/>
                <w:color w:val="FFFFFF"/>
                <w:sz w:val="19"/>
                <w:szCs w:val="19"/>
              </w:rPr>
              <w:t xml:space="preserve">Condition</w:t>
            </w:r>
          </w:p>
        </w:tc>
        <w:tc>
          <w:tcPr>
            <w:tcW w:type="dxa" w:w="3200"/>
            <w:shd w:fill="1F3864" w:color="auto" w:val="clear"/>
            <w:tcMar>
              <w:top w:type="dxa" w:w="55"/>
              <w:left w:type="dxa" w:w="90"/>
              <w:bottom w:type="dxa" w:w="55"/>
              <w:right w:type="dxa" w:w="90"/>
            </w:tcMar>
          </w:tcPr>
          <w:p>
            <w:pPr>
              <w:spacing w:after="0" w:line="250"/>
              <w:jc w:val="left"/>
            </w:pPr>
            <w:r>
              <w:rPr>
                <w:b/>
                <w:bCs/>
                <w:color w:val="FFFFFF"/>
                <w:sz w:val="19"/>
                <w:szCs w:val="19"/>
              </w:rPr>
              <w:t xml:space="preserve">Removed component</w:t>
            </w:r>
          </w:p>
        </w:tc>
        <w:tc>
          <w:tcPr>
            <w:tcW w:type="dxa" w:w="3400"/>
            <w:shd w:fill="1F3864" w:color="auto" w:val="clear"/>
            <w:tcMar>
              <w:top w:type="dxa" w:w="55"/>
              <w:left w:type="dxa" w:w="90"/>
              <w:bottom w:type="dxa" w:w="55"/>
              <w:right w:type="dxa" w:w="90"/>
            </w:tcMar>
          </w:tcPr>
          <w:p>
            <w:pPr>
              <w:spacing w:after="0" w:line="250"/>
              <w:jc w:val="left"/>
            </w:pPr>
            <w:r>
              <w:rPr>
                <w:b/>
                <w:bCs/>
                <w:color w:val="FFFFFF"/>
                <w:sz w:val="19"/>
                <w:szCs w:val="19"/>
              </w:rPr>
              <w:t xml:space="preserve">Expected effect</w:t>
            </w:r>
          </w:p>
        </w:tc>
      </w:tr>
      <w:tr>
        <w:tc>
          <w:tcPr>
            <w:tcW w:type="dxa" w:w="1900"/>
            <w:shd w:fill="FFFFFF" w:color="auto" w:val="clear"/>
            <w:tcMar>
              <w:top w:type="dxa" w:w="55"/>
              <w:left w:type="dxa" w:w="90"/>
              <w:bottom w:type="dxa" w:w="55"/>
              <w:right w:type="dxa" w:w="90"/>
            </w:tcMar>
          </w:tcPr>
          <w:p>
            <w:pPr>
              <w:spacing w:after="0" w:line="250"/>
              <w:jc w:val="left"/>
            </w:pPr>
            <w:r>
              <w:rPr>
                <w:color w:val="1F3864"/>
                <w:sz w:val="19"/>
                <w:szCs w:val="19"/>
              </w:rPr>
              <w:t xml:space="preserve">Full</w:t>
            </w:r>
          </w:p>
        </w:tc>
        <w:tc>
          <w:tcPr>
            <w:tcW w:type="dxa" w:w="3200"/>
            <w:shd w:fill="FFFFFF" w:color="auto" w:val="clear"/>
            <w:tcMar>
              <w:top w:type="dxa" w:w="55"/>
              <w:left w:type="dxa" w:w="90"/>
              <w:bottom w:type="dxa" w:w="55"/>
              <w:right w:type="dxa" w:w="90"/>
            </w:tcMar>
          </w:tcPr>
          <w:p>
            <w:pPr>
              <w:spacing w:after="0" w:line="250"/>
              <w:jc w:val="left"/>
            </w:pPr>
            <w:r>
              <w:rPr>
                <w:color w:val="222222"/>
                <w:sz w:val="19"/>
                <w:szCs w:val="19"/>
              </w:rPr>
              <w:t xml:space="preserve">—</w:t>
            </w:r>
          </w:p>
        </w:tc>
        <w:tc>
          <w:tcPr>
            <w:tcW w:type="dxa" w:w="3400"/>
            <w:shd w:fill="FFFFFF" w:color="auto" w:val="clear"/>
            <w:tcMar>
              <w:top w:type="dxa" w:w="55"/>
              <w:left w:type="dxa" w:w="90"/>
              <w:bottom w:type="dxa" w:w="55"/>
              <w:right w:type="dxa" w:w="90"/>
            </w:tcMar>
          </w:tcPr>
          <w:p>
            <w:pPr>
              <w:spacing w:after="0" w:line="250"/>
              <w:jc w:val="left"/>
            </w:pPr>
            <w:r>
              <w:rPr>
                <w:color w:val="222222"/>
                <w:sz w:val="19"/>
                <w:szCs w:val="19"/>
              </w:rPr>
              <w:t xml:space="preserve">Reference (highest)</w:t>
            </w:r>
          </w:p>
        </w:tc>
      </w:tr>
      <w:tr>
        <w:tc>
          <w:tcPr>
            <w:tcW w:type="dxa" w:w="1900"/>
            <w:shd w:fill="E8EEF7" w:color="auto" w:val="clear"/>
            <w:tcMar>
              <w:top w:type="dxa" w:w="55"/>
              <w:left w:type="dxa" w:w="90"/>
              <w:bottom w:type="dxa" w:w="55"/>
              <w:right w:type="dxa" w:w="90"/>
            </w:tcMar>
          </w:tcPr>
          <w:p>
            <w:pPr>
              <w:spacing w:after="0" w:line="250"/>
              <w:jc w:val="left"/>
            </w:pPr>
            <w:r>
              <w:rPr>
                <w:color w:val="222222"/>
                <w:sz w:val="19"/>
                <w:szCs w:val="19"/>
              </w:rPr>
              <w:t xml:space="preserve">−C1</w:t>
            </w:r>
          </w:p>
        </w:tc>
        <w:tc>
          <w:tcPr>
            <w:tcW w:type="dxa" w:w="3200"/>
            <w:shd w:fill="E8EEF7" w:color="auto" w:val="clear"/>
            <w:tcMar>
              <w:top w:type="dxa" w:w="55"/>
              <w:left w:type="dxa" w:w="90"/>
              <w:bottom w:type="dxa" w:w="55"/>
              <w:right w:type="dxa" w:w="90"/>
            </w:tcMar>
          </w:tcPr>
          <w:p>
            <w:pPr>
              <w:spacing w:after="0" w:line="250"/>
              <w:jc w:val="left"/>
            </w:pPr>
            <w:r>
              <w:rPr>
                <w:color w:val="222222"/>
                <w:sz w:val="19"/>
                <w:szCs w:val="19"/>
              </w:rPr>
              <w:t xml:space="preserve">Foveation</w:t>
            </w:r>
          </w:p>
        </w:tc>
        <w:tc>
          <w:tcPr>
            <w:tcW w:type="dxa" w:w="3400"/>
            <w:shd w:fill="E8EEF7" w:color="auto" w:val="clear"/>
            <w:tcMar>
              <w:top w:type="dxa" w:w="55"/>
              <w:left w:type="dxa" w:w="90"/>
              <w:bottom w:type="dxa" w:w="55"/>
              <w:right w:type="dxa" w:w="90"/>
            </w:tcMar>
          </w:tcPr>
          <w:p>
            <w:pPr>
              <w:spacing w:after="0" w:line="250"/>
              <w:jc w:val="left"/>
            </w:pPr>
            <w:r>
              <w:rPr>
                <w:color w:val="222222"/>
                <w:sz w:val="19"/>
                <w:szCs w:val="19"/>
              </w:rPr>
              <w:t xml:space="preserve">Efficiency ↓, small object accuracy ↓</w:t>
            </w:r>
          </w:p>
        </w:tc>
      </w:tr>
      <w:tr>
        <w:tc>
          <w:tcPr>
            <w:tcW w:type="dxa" w:w="1900"/>
            <w:shd w:fill="FFFFFF" w:color="auto" w:val="clear"/>
            <w:tcMar>
              <w:top w:type="dxa" w:w="55"/>
              <w:left w:type="dxa" w:w="90"/>
              <w:bottom w:type="dxa" w:w="55"/>
              <w:right w:type="dxa" w:w="90"/>
            </w:tcMar>
          </w:tcPr>
          <w:p>
            <w:pPr>
              <w:spacing w:after="0" w:line="250"/>
              <w:jc w:val="left"/>
            </w:pPr>
            <w:r>
              <w:rPr>
                <w:color w:val="222222"/>
                <w:sz w:val="19"/>
                <w:szCs w:val="19"/>
              </w:rPr>
              <w:t xml:space="preserve">−C2</w:t>
            </w:r>
          </w:p>
        </w:tc>
        <w:tc>
          <w:tcPr>
            <w:tcW w:type="dxa" w:w="3200"/>
            <w:shd w:fill="FFFFFF" w:color="auto" w:val="clear"/>
            <w:tcMar>
              <w:top w:type="dxa" w:w="55"/>
              <w:left w:type="dxa" w:w="90"/>
              <w:bottom w:type="dxa" w:w="55"/>
              <w:right w:type="dxa" w:w="90"/>
            </w:tcMar>
          </w:tcPr>
          <w:p>
            <w:pPr>
              <w:spacing w:after="0" w:line="250"/>
              <w:jc w:val="left"/>
            </w:pPr>
            <w:r>
              <w:rPr>
                <w:color w:val="222222"/>
                <w:sz w:val="19"/>
                <w:szCs w:val="19"/>
              </w:rPr>
              <w:t xml:space="preserve">Trace-based → flat blur (equal SNR)</w:t>
            </w:r>
          </w:p>
        </w:tc>
        <w:tc>
          <w:tcPr>
            <w:tcW w:type="dxa" w:w="3400"/>
            <w:shd w:fill="FFFFFF" w:color="auto" w:val="clear"/>
            <w:tcMar>
              <w:top w:type="dxa" w:w="55"/>
              <w:left w:type="dxa" w:w="90"/>
              <w:bottom w:type="dxa" w:w="55"/>
              <w:right w:type="dxa" w:w="90"/>
            </w:tcMar>
          </w:tcPr>
          <w:p>
            <w:pPr>
              <w:spacing w:after="0" w:line="250"/>
              <w:jc w:val="left"/>
            </w:pPr>
            <w:r>
              <w:rPr>
                <w:color w:val="222222"/>
                <w:sz w:val="19"/>
                <w:szCs w:val="19"/>
              </w:rPr>
              <w:t xml:space="preserve">Brain-alignment ↓, metamer similarity ↓</w:t>
            </w:r>
          </w:p>
        </w:tc>
      </w:tr>
      <w:tr>
        <w:tc>
          <w:tcPr>
            <w:tcW w:type="dxa" w:w="1900"/>
            <w:shd w:fill="E8EEF7" w:color="auto" w:val="clear"/>
            <w:tcMar>
              <w:top w:type="dxa" w:w="55"/>
              <w:left w:type="dxa" w:w="90"/>
              <w:bottom w:type="dxa" w:w="55"/>
              <w:right w:type="dxa" w:w="90"/>
            </w:tcMar>
          </w:tcPr>
          <w:p>
            <w:pPr>
              <w:spacing w:after="0" w:line="250"/>
              <w:jc w:val="left"/>
            </w:pPr>
            <w:r>
              <w:rPr>
                <w:color w:val="222222"/>
                <w:sz w:val="19"/>
                <w:szCs w:val="19"/>
              </w:rPr>
              <w:t xml:space="preserve">−C3</w:t>
            </w:r>
          </w:p>
        </w:tc>
        <w:tc>
          <w:tcPr>
            <w:tcW w:type="dxa" w:w="3200"/>
            <w:shd w:fill="E8EEF7" w:color="auto" w:val="clear"/>
            <w:tcMar>
              <w:top w:type="dxa" w:w="55"/>
              <w:left w:type="dxa" w:w="90"/>
              <w:bottom w:type="dxa" w:w="55"/>
              <w:right w:type="dxa" w:w="90"/>
            </w:tcMar>
          </w:tcPr>
          <w:p>
            <w:pPr>
              <w:spacing w:after="0" w:line="250"/>
              <w:jc w:val="left"/>
            </w:pPr>
            <w:r>
              <w:rPr>
                <w:color w:val="222222"/>
                <w:sz w:val="19"/>
                <w:szCs w:val="19"/>
              </w:rPr>
              <w:t xml:space="preserve">V1 noise</w:t>
            </w:r>
          </w:p>
        </w:tc>
        <w:tc>
          <w:tcPr>
            <w:tcW w:type="dxa" w:w="3400"/>
            <w:shd w:fill="E8EEF7" w:color="auto" w:val="clear"/>
            <w:tcMar>
              <w:top w:type="dxa" w:w="55"/>
              <w:left w:type="dxa" w:w="90"/>
              <w:bottom w:type="dxa" w:w="55"/>
              <w:right w:type="dxa" w:w="90"/>
            </w:tcMar>
          </w:tcPr>
          <w:p>
            <w:pPr>
              <w:spacing w:after="0" w:line="250"/>
              <w:jc w:val="left"/>
            </w:pPr>
            <w:r>
              <w:rPr>
                <w:color w:val="222222"/>
                <w:sz w:val="19"/>
                <w:szCs w:val="19"/>
              </w:rPr>
              <w:t xml:space="preserve">Adversarial robustness ↓ (EOT)</w:t>
            </w:r>
          </w:p>
        </w:tc>
      </w:tr>
      <w:tr>
        <w:tc>
          <w:tcPr>
            <w:tcW w:type="dxa" w:w="1900"/>
            <w:shd w:fill="FFFFFF" w:color="auto" w:val="clear"/>
            <w:tcMar>
              <w:top w:type="dxa" w:w="55"/>
              <w:left w:type="dxa" w:w="90"/>
              <w:bottom w:type="dxa" w:w="55"/>
              <w:right w:type="dxa" w:w="90"/>
            </w:tcMar>
          </w:tcPr>
          <w:p>
            <w:pPr>
              <w:spacing w:after="0" w:line="250"/>
              <w:jc w:val="left"/>
            </w:pPr>
            <w:r>
              <w:rPr>
                <w:color w:val="222222"/>
                <w:sz w:val="19"/>
                <w:szCs w:val="19"/>
              </w:rPr>
              <w:t xml:space="preserve">−C4</w:t>
            </w:r>
          </w:p>
        </w:tc>
        <w:tc>
          <w:tcPr>
            <w:tcW w:type="dxa" w:w="3200"/>
            <w:shd w:fill="FFFFFF" w:color="auto" w:val="clear"/>
            <w:tcMar>
              <w:top w:type="dxa" w:w="55"/>
              <w:left w:type="dxa" w:w="90"/>
              <w:bottom w:type="dxa" w:w="55"/>
              <w:right w:type="dxa" w:w="90"/>
            </w:tcMar>
          </w:tcPr>
          <w:p>
            <w:pPr>
              <w:spacing w:after="0" w:line="250"/>
              <w:jc w:val="left"/>
            </w:pPr>
            <w:r>
              <w:rPr>
                <w:color w:val="222222"/>
                <w:sz w:val="19"/>
                <w:szCs w:val="19"/>
              </w:rPr>
              <w:t xml:space="preserve">ResNet → CORnet-S</w:t>
            </w:r>
          </w:p>
        </w:tc>
        <w:tc>
          <w:tcPr>
            <w:tcW w:type="dxa" w:w="3400"/>
            <w:shd w:fill="FFFFFF" w:color="auto" w:val="clear"/>
            <w:tcMar>
              <w:top w:type="dxa" w:w="55"/>
              <w:left w:type="dxa" w:w="90"/>
              <w:bottom w:type="dxa" w:w="55"/>
              <w:right w:type="dxa" w:w="90"/>
            </w:tcMar>
          </w:tcPr>
          <w:p>
            <w:pPr>
              <w:spacing w:after="0" w:line="250"/>
              <w:jc w:val="left"/>
            </w:pPr>
            <w:r>
              <w:rPr>
                <w:color w:val="222222"/>
                <w:sz w:val="19"/>
                <w:szCs w:val="19"/>
              </w:rPr>
              <w:t xml:space="preserve">Brain-Score ↑?, FLOP change</w:t>
            </w:r>
          </w:p>
        </w:tc>
      </w:tr>
      <w:tr>
        <w:tc>
          <w:tcPr>
            <w:tcW w:type="dxa" w:w="1900"/>
            <w:shd w:fill="E8EEF7" w:color="auto" w:val="clear"/>
            <w:tcMar>
              <w:top w:type="dxa" w:w="55"/>
              <w:left w:type="dxa" w:w="90"/>
              <w:bottom w:type="dxa" w:w="55"/>
              <w:right w:type="dxa" w:w="90"/>
            </w:tcMar>
          </w:tcPr>
          <w:p>
            <w:pPr>
              <w:spacing w:after="0" w:line="250"/>
              <w:jc w:val="left"/>
            </w:pPr>
            <w:r>
              <w:rPr>
                <w:color w:val="222222"/>
                <w:sz w:val="19"/>
                <w:szCs w:val="19"/>
              </w:rPr>
              <w:t xml:space="preserve">−C5</w:t>
            </w:r>
          </w:p>
        </w:tc>
        <w:tc>
          <w:tcPr>
            <w:tcW w:type="dxa" w:w="3200"/>
            <w:shd w:fill="E8EEF7" w:color="auto" w:val="clear"/>
            <w:tcMar>
              <w:top w:type="dxa" w:w="55"/>
              <w:left w:type="dxa" w:w="90"/>
              <w:bottom w:type="dxa" w:w="55"/>
              <w:right w:type="dxa" w:w="90"/>
            </w:tcMar>
          </w:tcPr>
          <w:p>
            <w:pPr>
              <w:spacing w:after="0" w:line="250"/>
              <w:jc w:val="left"/>
            </w:pPr>
            <w:r>
              <w:rPr>
                <w:color w:val="222222"/>
                <w:sz w:val="19"/>
                <w:szCs w:val="19"/>
              </w:rPr>
              <w:t xml:space="preserve">IT-feedback</w:t>
            </w:r>
          </w:p>
        </w:tc>
        <w:tc>
          <w:tcPr>
            <w:tcW w:type="dxa" w:w="3400"/>
            <w:shd w:fill="E8EEF7" w:color="auto" w:val="clear"/>
            <w:tcMar>
              <w:top w:type="dxa" w:w="55"/>
              <w:left w:type="dxa" w:w="90"/>
              <w:bottom w:type="dxa" w:w="55"/>
              <w:right w:type="dxa" w:w="90"/>
            </w:tcMar>
          </w:tcPr>
          <w:p>
            <w:pPr>
              <w:spacing w:after="0" w:line="250"/>
              <w:jc w:val="left"/>
            </w:pPr>
            <w:r>
              <w:rPr>
                <w:color w:val="222222"/>
                <w:sz w:val="19"/>
                <w:szCs w:val="19"/>
              </w:rPr>
              <w:t xml:space="preserve">Adaptive-compute gain ↓, hard-example accuracy ↓</w:t>
            </w:r>
          </w:p>
        </w:tc>
      </w:tr>
    </w:tbl>
    <w:p>
      <w:pPr>
        <w:pStyle w:val="Heading1"/>
        <w:spacing w:after="140" w:before="320"/>
      </w:pPr>
      <w:r>
        <w:rPr>
          <w:b/>
          <w:bCs/>
          <w:color w:val="1F3864"/>
        </w:rPr>
        <w:t xml:space="preserve">9. Current Status ve Smoke-Test Validation</w:t>
      </w:r>
    </w:p>
    <w:p>
      <w:pPr>
        <w:spacing w:after="120" w:line="276"/>
      </w:pPr>
      <w:r>
        <w:rPr>
          <w:color w:val="222222"/>
          <w:sz w:val="21"/>
          <w:szCs w:val="21"/>
        </w:rPr>
        <w:t xml:space="preserve">Bu aşamada tamamlanan iş, scientific result üretmek değil, experiment pipeline’ın uçtan uca çalıştığını kanıtlamaktır. Yedi notebook, override katmanı, data ve metric pipeline </w:t>
      </w:r>
      <w:r>
        <w:rPr>
          <w:i/>
          <w:iCs/>
          <w:color w:val="222222"/>
          <w:sz w:val="21"/>
          <w:szCs w:val="21"/>
        </w:rPr>
        <w:t xml:space="preserve">smoke_test=True</w:t>
      </w:r>
      <w:r>
        <w:rPr>
          <w:color w:val="222222"/>
          <w:sz w:val="21"/>
          <w:szCs w:val="21"/>
        </w:rPr>
        <w:t xml:space="preserve"> modunda (randomly-initialized modeller + synthetic data, 2–3 iteration) hatasız uçtan uca koştu. Aşağıdaki sayılar </w:t>
      </w:r>
      <w:r>
        <w:rPr>
          <w:i/>
          <w:iCs/>
          <w:color w:val="C55A11"/>
          <w:sz w:val="21"/>
          <w:szCs w:val="21"/>
        </w:rPr>
        <w:t xml:space="preserve">yalnızca pipeline’ın ürettiği output’un biçimini gösterir; gerçek performance değildir.</w:t>
      </w:r>
    </w:p>
    <w:p>
      <w:pPr>
        <w:spacing w:after="30"/>
      </w:pPr>
    </w:p>
    <w:tbl>
      <w:tblPr>
        <w:tblW w:type="dxa" w:w="7500"/>
        <w:tblBorders>
          <w:top w:val="single" w:color="BBBBBB" w:sz="4"/>
          <w:left w:val="single" w:color="BBBBBB" w:sz="4"/>
          <w:bottom w:val="single" w:color="BBBBBB" w:sz="4"/>
          <w:right w:val="single" w:color="BBBBBB" w:sz="4"/>
          <w:insideH w:val="single" w:color="DDDDDD" w:sz="2"/>
          <w:insideV w:val="single" w:color="DDDDDD" w:sz="2"/>
        </w:tblBorders>
      </w:tblPr>
      <w:tblGrid>
        <w:gridCol w:w="2600"/>
        <w:gridCol w:w="1500"/>
        <w:gridCol w:w="1500"/>
        <w:gridCol w:w="1900"/>
      </w:tblGrid>
      <w:tr>
        <w:trPr>
          <w:tblHeader/>
        </w:trPr>
        <w:tc>
          <w:tcPr>
            <w:tcW w:type="dxa" w:w="2600"/>
            <w:shd w:fill="1F3864" w:color="auto" w:val="clear"/>
            <w:tcMar>
              <w:top w:type="dxa" w:w="55"/>
              <w:left w:type="dxa" w:w="90"/>
              <w:bottom w:type="dxa" w:w="55"/>
              <w:right w:type="dxa" w:w="90"/>
            </w:tcMar>
          </w:tcPr>
          <w:p>
            <w:pPr>
              <w:spacing w:after="0" w:line="250"/>
              <w:jc w:val="left"/>
            </w:pPr>
            <w:r>
              <w:rPr>
                <w:b/>
                <w:bCs/>
                <w:color w:val="FFFFFF"/>
                <w:sz w:val="19"/>
                <w:szCs w:val="19"/>
              </w:rPr>
              <w:t xml:space="preserve">Condition (07 notebook)</w:t>
            </w:r>
          </w:p>
        </w:tc>
        <w:tc>
          <w:tcPr>
            <w:tcW w:type="dxa" w:w="1500"/>
            <w:shd w:fill="1F3864" w:color="auto" w:val="clear"/>
            <w:tcMar>
              <w:top w:type="dxa" w:w="55"/>
              <w:left w:type="dxa" w:w="90"/>
              <w:bottom w:type="dxa" w:w="55"/>
              <w:right w:type="dxa" w:w="90"/>
            </w:tcMar>
          </w:tcPr>
          <w:p>
            <w:pPr>
              <w:spacing w:after="0" w:line="250"/>
              <w:jc w:val="left"/>
            </w:pPr>
            <w:r>
              <w:rPr>
                <w:b/>
                <w:bCs/>
                <w:color w:val="FFFFFF"/>
                <w:sz w:val="19"/>
                <w:szCs w:val="19"/>
              </w:rPr>
              <w:t xml:space="preserve">Clean acc*</w:t>
            </w:r>
          </w:p>
        </w:tc>
        <w:tc>
          <w:tcPr>
            <w:tcW w:type="dxa" w:w="1500"/>
            <w:shd w:fill="1F3864" w:color="auto" w:val="clear"/>
            <w:tcMar>
              <w:top w:type="dxa" w:w="55"/>
              <w:left w:type="dxa" w:w="90"/>
              <w:bottom w:type="dxa" w:w="55"/>
              <w:right w:type="dxa" w:w="90"/>
            </w:tcMar>
          </w:tcPr>
          <w:p>
            <w:pPr>
              <w:spacing w:after="0" w:line="250"/>
              <w:jc w:val="left"/>
            </w:pPr>
            <w:r>
              <w:rPr>
                <w:b/>
                <w:bCs/>
                <w:color w:val="FFFFFF"/>
                <w:sz w:val="19"/>
                <w:szCs w:val="19"/>
              </w:rPr>
              <w:t xml:space="preserve">Robust acc*</w:t>
            </w:r>
          </w:p>
        </w:tc>
        <w:tc>
          <w:tcPr>
            <w:tcW w:type="dxa" w:w="1900"/>
            <w:shd w:fill="1F3864" w:color="auto" w:val="clear"/>
            <w:tcMar>
              <w:top w:type="dxa" w:w="55"/>
              <w:left w:type="dxa" w:w="90"/>
              <w:bottom w:type="dxa" w:w="55"/>
              <w:right w:type="dxa" w:w="90"/>
            </w:tcMar>
          </w:tcPr>
          <w:p>
            <w:pPr>
              <w:spacing w:after="0" w:line="250"/>
              <w:jc w:val="left"/>
            </w:pPr>
            <w:r>
              <w:rPr>
                <w:b/>
                <w:bCs/>
                <w:color w:val="FFFFFF"/>
                <w:sz w:val="19"/>
                <w:szCs w:val="19"/>
              </w:rPr>
              <w:t xml:space="preserve">Note</w:t>
            </w:r>
          </w:p>
        </w:tc>
      </w:tr>
      <w:tr>
        <w:tc>
          <w:tcPr>
            <w:tcW w:type="dxa" w:w="2600"/>
            <w:shd w:fill="FFFFFF" w:color="auto" w:val="clear"/>
            <w:tcMar>
              <w:top w:type="dxa" w:w="55"/>
              <w:left w:type="dxa" w:w="90"/>
              <w:bottom w:type="dxa" w:w="55"/>
              <w:right w:type="dxa" w:w="90"/>
            </w:tcMar>
          </w:tcPr>
          <w:p>
            <w:pPr>
              <w:spacing w:after="0" w:line="250"/>
              <w:jc w:val="left"/>
            </w:pPr>
            <w:r>
              <w:rPr>
                <w:color w:val="222222"/>
                <w:sz w:val="18"/>
                <w:szCs w:val="18"/>
              </w:rPr>
              <w:t xml:space="preserve">B7 ResNet-50</w:t>
            </w:r>
          </w:p>
        </w:tc>
        <w:tc>
          <w:tcPr>
            <w:tcW w:type="dxa" w:w="1500"/>
            <w:shd w:fill="FFFFFF" w:color="auto" w:val="clear"/>
            <w:tcMar>
              <w:top w:type="dxa" w:w="55"/>
              <w:left w:type="dxa" w:w="90"/>
              <w:bottom w:type="dxa" w:w="55"/>
              <w:right w:type="dxa" w:w="90"/>
            </w:tcMar>
          </w:tcPr>
          <w:p>
            <w:pPr>
              <w:spacing w:after="0" w:line="250"/>
              <w:jc w:val="left"/>
            </w:pPr>
            <w:r>
              <w:rPr>
                <w:color w:val="222222"/>
                <w:sz w:val="18"/>
                <w:szCs w:val="18"/>
              </w:rPr>
              <w:t xml:space="preserve">0.141</w:t>
            </w:r>
          </w:p>
        </w:tc>
        <w:tc>
          <w:tcPr>
            <w:tcW w:type="dxa" w:w="1500"/>
            <w:shd w:fill="FFFFFF" w:color="auto" w:val="clear"/>
            <w:tcMar>
              <w:top w:type="dxa" w:w="55"/>
              <w:left w:type="dxa" w:w="90"/>
              <w:bottom w:type="dxa" w:w="55"/>
              <w:right w:type="dxa" w:w="90"/>
            </w:tcMar>
          </w:tcPr>
          <w:p>
            <w:pPr>
              <w:spacing w:after="0" w:line="250"/>
              <w:jc w:val="left"/>
            </w:pPr>
            <w:r>
              <w:rPr>
                <w:color w:val="222222"/>
                <w:sz w:val="18"/>
                <w:szCs w:val="18"/>
              </w:rPr>
              <w:t xml:space="preserve">0.000</w:t>
            </w:r>
          </w:p>
        </w:tc>
        <w:tc>
          <w:tcPr>
            <w:tcW w:type="dxa" w:w="1900"/>
            <w:shd w:fill="FFFFFF" w:color="auto" w:val="clear"/>
            <w:tcMar>
              <w:top w:type="dxa" w:w="55"/>
              <w:left w:type="dxa" w:w="90"/>
              <w:bottom w:type="dxa" w:w="55"/>
              <w:right w:type="dxa" w:w="90"/>
            </w:tcMar>
          </w:tcPr>
          <w:p>
            <w:pPr>
              <w:spacing w:after="0" w:line="250"/>
              <w:jc w:val="left"/>
            </w:pPr>
            <w:r>
              <w:rPr>
                <w:color w:val="222222"/>
                <w:sz w:val="18"/>
                <w:szCs w:val="18"/>
              </w:rPr>
              <w:t xml:space="preserve">synthetic data</w:t>
            </w:r>
          </w:p>
        </w:tc>
      </w:tr>
      <w:tr>
        <w:tc>
          <w:tcPr>
            <w:tcW w:type="dxa" w:w="2600"/>
            <w:shd w:fill="E8EEF7" w:color="auto" w:val="clear"/>
            <w:tcMar>
              <w:top w:type="dxa" w:w="55"/>
              <w:left w:type="dxa" w:w="90"/>
              <w:bottom w:type="dxa" w:w="55"/>
              <w:right w:type="dxa" w:w="90"/>
            </w:tcMar>
          </w:tcPr>
          <w:p>
            <w:pPr>
              <w:spacing w:after="0" w:line="250"/>
              <w:jc w:val="left"/>
            </w:pPr>
            <w:r>
              <w:rPr>
                <w:color w:val="222222"/>
                <w:sz w:val="18"/>
                <w:szCs w:val="18"/>
              </w:rPr>
              <w:t xml:space="preserve">B8 VOneBlock (noise off)</w:t>
            </w:r>
          </w:p>
        </w:tc>
        <w:tc>
          <w:tcPr>
            <w:tcW w:type="dxa" w:w="1500"/>
            <w:shd w:fill="E8EEF7" w:color="auto" w:val="clear"/>
            <w:tcMar>
              <w:top w:type="dxa" w:w="55"/>
              <w:left w:type="dxa" w:w="90"/>
              <w:bottom w:type="dxa" w:w="55"/>
              <w:right w:type="dxa" w:w="90"/>
            </w:tcMar>
          </w:tcPr>
          <w:p>
            <w:pPr>
              <w:spacing w:after="0" w:line="250"/>
              <w:jc w:val="left"/>
            </w:pPr>
            <w:r>
              <w:rPr>
                <w:color w:val="222222"/>
                <w:sz w:val="18"/>
                <w:szCs w:val="18"/>
              </w:rPr>
              <w:t xml:space="preserve">0.078</w:t>
            </w:r>
          </w:p>
        </w:tc>
        <w:tc>
          <w:tcPr>
            <w:tcW w:type="dxa" w:w="1500"/>
            <w:shd w:fill="E8EEF7" w:color="auto" w:val="clear"/>
            <w:tcMar>
              <w:top w:type="dxa" w:w="55"/>
              <w:left w:type="dxa" w:w="90"/>
              <w:bottom w:type="dxa" w:w="55"/>
              <w:right w:type="dxa" w:w="90"/>
            </w:tcMar>
          </w:tcPr>
          <w:p>
            <w:pPr>
              <w:spacing w:after="0" w:line="250"/>
              <w:jc w:val="left"/>
            </w:pPr>
            <w:r>
              <w:rPr>
                <w:color w:val="222222"/>
                <w:sz w:val="18"/>
                <w:szCs w:val="18"/>
              </w:rPr>
              <w:t xml:space="preserve">0.000</w:t>
            </w:r>
          </w:p>
        </w:tc>
        <w:tc>
          <w:tcPr>
            <w:tcW w:type="dxa" w:w="1900"/>
            <w:shd w:fill="E8EEF7" w:color="auto" w:val="clear"/>
            <w:tcMar>
              <w:top w:type="dxa" w:w="55"/>
              <w:left w:type="dxa" w:w="90"/>
              <w:bottom w:type="dxa" w:w="55"/>
              <w:right w:type="dxa" w:w="90"/>
            </w:tcMar>
          </w:tcPr>
          <w:p>
            <w:pPr>
              <w:spacing w:after="0" w:line="250"/>
              <w:jc w:val="left"/>
            </w:pPr>
            <w:r>
              <w:rPr>
                <w:color w:val="222222"/>
                <w:sz w:val="18"/>
                <w:szCs w:val="18"/>
              </w:rPr>
              <w:t xml:space="preserve">synthetic data</w:t>
            </w:r>
          </w:p>
        </w:tc>
      </w:tr>
      <w:tr>
        <w:tc>
          <w:tcPr>
            <w:tcW w:type="dxa" w:w="2600"/>
            <w:shd w:fill="FFFFFF" w:color="auto" w:val="clear"/>
            <w:tcMar>
              <w:top w:type="dxa" w:w="55"/>
              <w:left w:type="dxa" w:w="90"/>
              <w:bottom w:type="dxa" w:w="55"/>
              <w:right w:type="dxa" w:w="90"/>
            </w:tcMar>
          </w:tcPr>
          <w:p>
            <w:pPr>
              <w:spacing w:after="0" w:line="250"/>
              <w:jc w:val="left"/>
            </w:pPr>
            <w:r>
              <w:rPr>
                <w:color w:val="222222"/>
                <w:sz w:val="18"/>
                <w:szCs w:val="18"/>
              </w:rPr>
              <w:t xml:space="preserve">B9 VOneBlock (Poisson on)</w:t>
            </w:r>
          </w:p>
        </w:tc>
        <w:tc>
          <w:tcPr>
            <w:tcW w:type="dxa" w:w="1500"/>
            <w:shd w:fill="FFFFFF" w:color="auto" w:val="clear"/>
            <w:tcMar>
              <w:top w:type="dxa" w:w="55"/>
              <w:left w:type="dxa" w:w="90"/>
              <w:bottom w:type="dxa" w:w="55"/>
              <w:right w:type="dxa" w:w="90"/>
            </w:tcMar>
          </w:tcPr>
          <w:p>
            <w:pPr>
              <w:spacing w:after="0" w:line="250"/>
              <w:jc w:val="left"/>
            </w:pPr>
            <w:r>
              <w:rPr>
                <w:color w:val="222222"/>
                <w:sz w:val="18"/>
                <w:szCs w:val="18"/>
              </w:rPr>
              <w:t xml:space="preserve">0.109</w:t>
            </w:r>
          </w:p>
        </w:tc>
        <w:tc>
          <w:tcPr>
            <w:tcW w:type="dxa" w:w="1500"/>
            <w:shd w:fill="FFFFFF" w:color="auto" w:val="clear"/>
            <w:tcMar>
              <w:top w:type="dxa" w:w="55"/>
              <w:left w:type="dxa" w:w="90"/>
              <w:bottom w:type="dxa" w:w="55"/>
              <w:right w:type="dxa" w:w="90"/>
            </w:tcMar>
          </w:tcPr>
          <w:p>
            <w:pPr>
              <w:spacing w:after="0" w:line="250"/>
              <w:jc w:val="left"/>
            </w:pPr>
            <w:r>
              <w:rPr>
                <w:color w:val="222222"/>
                <w:sz w:val="18"/>
                <w:szCs w:val="18"/>
              </w:rPr>
              <w:t xml:space="preserve">0.188</w:t>
            </w:r>
          </w:p>
        </w:tc>
        <w:tc>
          <w:tcPr>
            <w:tcW w:type="dxa" w:w="1900"/>
            <w:shd w:fill="FFFFFF" w:color="auto" w:val="clear"/>
            <w:tcMar>
              <w:top w:type="dxa" w:w="55"/>
              <w:left w:type="dxa" w:w="90"/>
              <w:bottom w:type="dxa" w:w="55"/>
              <w:right w:type="dxa" w:w="90"/>
            </w:tcMar>
          </w:tcPr>
          <w:p>
            <w:pPr>
              <w:spacing w:after="0" w:line="250"/>
              <w:jc w:val="left"/>
            </w:pPr>
            <w:r>
              <w:rPr>
                <w:color w:val="222222"/>
                <w:sz w:val="18"/>
                <w:szCs w:val="18"/>
              </w:rPr>
              <w:t xml:space="preserve">EOT pipeline works</w:t>
            </w:r>
          </w:p>
        </w:tc>
      </w:tr>
      <w:tr>
        <w:tc>
          <w:tcPr>
            <w:tcW w:type="dxa" w:w="2600"/>
            <w:shd w:fill="E8EEF7" w:color="auto" w:val="clear"/>
            <w:tcMar>
              <w:top w:type="dxa" w:w="55"/>
              <w:left w:type="dxa" w:w="90"/>
              <w:bottom w:type="dxa" w:w="55"/>
              <w:right w:type="dxa" w:w="90"/>
            </w:tcMar>
          </w:tcPr>
          <w:p>
            <w:pPr>
              <w:spacing w:after="0" w:line="250"/>
              <w:jc w:val="left"/>
            </w:pPr>
            <w:r>
              <w:rPr>
                <w:color w:val="222222"/>
                <w:sz w:val="18"/>
                <w:szCs w:val="18"/>
              </w:rPr>
              <w:t xml:space="preserve">A2 R-Blur + flat blur</w:t>
            </w:r>
          </w:p>
        </w:tc>
        <w:tc>
          <w:tcPr>
            <w:tcW w:type="dxa" w:w="1500"/>
            <w:shd w:fill="E8EEF7" w:color="auto" w:val="clear"/>
            <w:tcMar>
              <w:top w:type="dxa" w:w="55"/>
              <w:left w:type="dxa" w:w="90"/>
              <w:bottom w:type="dxa" w:w="55"/>
              <w:right w:type="dxa" w:w="90"/>
            </w:tcMar>
          </w:tcPr>
          <w:p>
            <w:pPr>
              <w:spacing w:after="0" w:line="250"/>
              <w:jc w:val="left"/>
            </w:pPr>
            <w:r>
              <w:rPr>
                <w:color w:val="222222"/>
                <w:sz w:val="18"/>
                <w:szCs w:val="18"/>
              </w:rPr>
              <w:t xml:space="preserve">0.125</w:t>
            </w:r>
          </w:p>
        </w:tc>
        <w:tc>
          <w:tcPr>
            <w:tcW w:type="dxa" w:w="1500"/>
            <w:shd w:fill="E8EEF7" w:color="auto" w:val="clear"/>
            <w:tcMar>
              <w:top w:type="dxa" w:w="55"/>
              <w:left w:type="dxa" w:w="90"/>
              <w:bottom w:type="dxa" w:w="55"/>
              <w:right w:type="dxa" w:w="90"/>
            </w:tcMar>
          </w:tcPr>
          <w:p>
            <w:pPr>
              <w:spacing w:after="0" w:line="250"/>
              <w:jc w:val="left"/>
            </w:pPr>
            <w:r>
              <w:rPr>
                <w:color w:val="222222"/>
                <w:sz w:val="18"/>
                <w:szCs w:val="18"/>
              </w:rPr>
              <w:t xml:space="preserve">0.000</w:t>
            </w:r>
          </w:p>
        </w:tc>
        <w:tc>
          <w:tcPr>
            <w:tcW w:type="dxa" w:w="1900"/>
            <w:shd w:fill="E8EEF7" w:color="auto" w:val="clear"/>
            <w:tcMar>
              <w:top w:type="dxa" w:w="55"/>
              <w:left w:type="dxa" w:w="90"/>
              <w:bottom w:type="dxa" w:w="55"/>
              <w:right w:type="dxa" w:w="90"/>
            </w:tcMar>
          </w:tcPr>
          <w:p>
            <w:pPr>
              <w:spacing w:after="0" w:line="250"/>
              <w:jc w:val="left"/>
            </w:pPr>
            <w:r>
              <w:rPr>
                <w:color w:val="222222"/>
                <w:sz w:val="18"/>
                <w:szCs w:val="18"/>
              </w:rPr>
              <w:t xml:space="preserve">synthetic data</w:t>
            </w:r>
          </w:p>
        </w:tc>
      </w:tr>
      <w:tr>
        <w:tc>
          <w:tcPr>
            <w:tcW w:type="dxa" w:w="2600"/>
            <w:shd w:fill="FFFFFF" w:color="auto" w:val="clear"/>
            <w:tcMar>
              <w:top w:type="dxa" w:w="55"/>
              <w:left w:type="dxa" w:w="90"/>
              <w:bottom w:type="dxa" w:w="55"/>
              <w:right w:type="dxa" w:w="90"/>
            </w:tcMar>
          </w:tcPr>
          <w:p>
            <w:pPr>
              <w:spacing w:after="0" w:line="250"/>
              <w:jc w:val="left"/>
            </w:pPr>
            <w:r>
              <w:rPr>
                <w:color w:val="C55A11"/>
                <w:sz w:val="18"/>
                <w:szCs w:val="18"/>
              </w:rPr>
              <w:t xml:space="preserve">A4 trace-based periphery</w:t>
            </w:r>
          </w:p>
        </w:tc>
        <w:tc>
          <w:tcPr>
            <w:tcW w:type="dxa" w:w="1500"/>
            <w:shd w:fill="FFFFFF" w:color="auto" w:val="clear"/>
            <w:tcMar>
              <w:top w:type="dxa" w:w="55"/>
              <w:left w:type="dxa" w:w="90"/>
              <w:bottom w:type="dxa" w:w="55"/>
              <w:right w:type="dxa" w:w="90"/>
            </w:tcMar>
          </w:tcPr>
          <w:p>
            <w:pPr>
              <w:spacing w:after="0" w:line="250"/>
              <w:jc w:val="left"/>
            </w:pPr>
            <w:r>
              <w:rPr>
                <w:color w:val="222222"/>
                <w:sz w:val="18"/>
                <w:szCs w:val="18"/>
              </w:rPr>
              <w:t xml:space="preserve">0.156</w:t>
            </w:r>
          </w:p>
        </w:tc>
        <w:tc>
          <w:tcPr>
            <w:tcW w:type="dxa" w:w="1500"/>
            <w:shd w:fill="FFFFFF" w:color="auto" w:val="clear"/>
            <w:tcMar>
              <w:top w:type="dxa" w:w="55"/>
              <w:left w:type="dxa" w:w="90"/>
              <w:bottom w:type="dxa" w:w="55"/>
              <w:right w:type="dxa" w:w="90"/>
            </w:tcMar>
          </w:tcPr>
          <w:p>
            <w:pPr>
              <w:spacing w:after="0" w:line="250"/>
              <w:jc w:val="left"/>
            </w:pPr>
            <w:r>
              <w:rPr>
                <w:color w:val="222222"/>
                <w:sz w:val="18"/>
                <w:szCs w:val="18"/>
              </w:rPr>
              <w:t xml:space="preserve">0.000</w:t>
            </w:r>
          </w:p>
        </w:tc>
        <w:tc>
          <w:tcPr>
            <w:tcW w:type="dxa" w:w="1900"/>
            <w:shd w:fill="FFFFFF" w:color="auto" w:val="clear"/>
            <w:tcMar>
              <w:top w:type="dxa" w:w="55"/>
              <w:left w:type="dxa" w:w="90"/>
              <w:bottom w:type="dxa" w:w="55"/>
              <w:right w:type="dxa" w:w="90"/>
            </w:tcMar>
          </w:tcPr>
          <w:p>
            <w:pPr>
              <w:spacing w:after="0" w:line="250"/>
              <w:jc w:val="left"/>
            </w:pPr>
            <w:r>
              <w:rPr>
                <w:color w:val="222222"/>
                <w:sz w:val="18"/>
                <w:szCs w:val="18"/>
              </w:rPr>
              <w:t xml:space="preserve">original contribution pipeline</w:t>
            </w:r>
          </w:p>
        </w:tc>
      </w:tr>
    </w:tbl>
    <w:p>
      <w:pPr>
        <w:spacing w:after="60" w:line="276"/>
      </w:pPr>
      <w:r>
        <w:rPr>
          <w:i/>
          <w:iCs/>
          <w:color w:val="595959"/>
          <w:sz w:val="18"/>
          <w:szCs w:val="18"/>
        </w:rPr>
        <w:t xml:space="preserve">* Randomly-initialized model + synthetic data üzerinden; chance level ~0.10. Anlamlı olan tek gözlem, pipeline’ın expected yapıdaki output’ları (accuracy, EOT-robust accuracy, mCE alanları, SNR sweep) üretebilmesidir. Örneğin B9’un stochastic front-end’i için EOT-robust accuracy alanının dolması, EOT measurement pipeline’ının doğru kurulduğunu gösterir.</w:t>
      </w:r>
    </w:p>
    <w:p>
      <w:pPr>
        <w:spacing w:after="120" w:line="276"/>
      </w:pPr>
      <w:r>
        <w:rPr>
          <w:color w:val="222222"/>
          <w:sz w:val="21"/>
          <w:szCs w:val="21"/>
        </w:rPr>
        <w:t xml:space="preserve">SNR sweep (07): β∈{1,2,3} × SNR₀∈{20,30,40} dB’lik 9 hücrelik grid de uçtan uca koştu — yani A6’nın metric-as-a-function-of-SNR ana figürünü üretecek pipeline hazır. Pretrained weights ile bu grid doğrudan accuracy–robustness sweet spot’u verecek.</w:t>
      </w:r>
    </w:p>
    <w:p>
      <w:pPr>
        <w:pStyle w:val="Heading1"/>
        <w:spacing w:after="140" w:before="320"/>
      </w:pPr>
      <w:r>
        <w:rPr>
          <w:b/>
          <w:bCs/>
          <w:color w:val="1F3864"/>
        </w:rPr>
        <w:t xml:space="preserve">10. Next Steps (Phases)</w:t>
      </w:r>
    </w:p>
    <w:p>
      <w:pPr>
        <w:spacing w:after="30"/>
      </w:pPr>
    </w:p>
    <w:tbl>
      <w:tblPr>
        <w:tblW w:type="dxa" w:w="8500"/>
        <w:tblBorders>
          <w:top w:val="single" w:color="BBBBBB" w:sz="4"/>
          <w:left w:val="single" w:color="BBBBBB" w:sz="4"/>
          <w:bottom w:val="single" w:color="BBBBBB" w:sz="4"/>
          <w:right w:val="single" w:color="BBBBBB" w:sz="4"/>
          <w:insideH w:val="single" w:color="DDDDDD" w:sz="2"/>
          <w:insideV w:val="single" w:color="DDDDDD" w:sz="2"/>
        </w:tblBorders>
      </w:tblPr>
      <w:tblGrid>
        <w:gridCol w:w="1700"/>
        <w:gridCol w:w="3200"/>
        <w:gridCol w:w="3600"/>
      </w:tblGrid>
      <w:tr>
        <w:trPr>
          <w:tblHeader/>
        </w:trPr>
        <w:tc>
          <w:tcPr>
            <w:tcW w:type="dxa" w:w="1700"/>
            <w:shd w:fill="1F3864" w:color="auto" w:val="clear"/>
            <w:tcMar>
              <w:top w:type="dxa" w:w="55"/>
              <w:left w:type="dxa" w:w="90"/>
              <w:bottom w:type="dxa" w:w="55"/>
              <w:right w:type="dxa" w:w="90"/>
            </w:tcMar>
          </w:tcPr>
          <w:p>
            <w:pPr>
              <w:spacing w:after="0" w:line="250"/>
              <w:jc w:val="left"/>
            </w:pPr>
            <w:r>
              <w:rPr>
                <w:b/>
                <w:bCs/>
                <w:color w:val="FFFFFF"/>
                <w:sz w:val="19"/>
                <w:szCs w:val="19"/>
              </w:rPr>
              <w:t xml:space="preserve">Phase</w:t>
            </w:r>
          </w:p>
        </w:tc>
        <w:tc>
          <w:tcPr>
            <w:tcW w:type="dxa" w:w="3200"/>
            <w:shd w:fill="1F3864" w:color="auto" w:val="clear"/>
            <w:tcMar>
              <w:top w:type="dxa" w:w="55"/>
              <w:left w:type="dxa" w:w="90"/>
              <w:bottom w:type="dxa" w:w="55"/>
              <w:right w:type="dxa" w:w="90"/>
            </w:tcMar>
          </w:tcPr>
          <w:p>
            <w:pPr>
              <w:spacing w:after="0" w:line="250"/>
              <w:jc w:val="left"/>
            </w:pPr>
            <w:r>
              <w:rPr>
                <w:b/>
                <w:bCs/>
                <w:color w:val="FFFFFF"/>
                <w:sz w:val="19"/>
                <w:szCs w:val="19"/>
              </w:rPr>
              <w:t xml:space="preserve">Work</w:t>
            </w:r>
          </w:p>
        </w:tc>
        <w:tc>
          <w:tcPr>
            <w:tcW w:type="dxa" w:w="3600"/>
            <w:shd w:fill="1F3864" w:color="auto" w:val="clear"/>
            <w:tcMar>
              <w:top w:type="dxa" w:w="55"/>
              <w:left w:type="dxa" w:w="90"/>
              <w:bottom w:type="dxa" w:w="55"/>
              <w:right w:type="dxa" w:w="90"/>
            </w:tcMar>
          </w:tcPr>
          <w:p>
            <w:pPr>
              <w:spacing w:after="0" w:line="250"/>
              <w:jc w:val="left"/>
            </w:pPr>
            <w:r>
              <w:rPr>
                <w:b/>
                <w:bCs/>
                <w:color w:val="FFFFFF"/>
                <w:sz w:val="19"/>
                <w:szCs w:val="19"/>
              </w:rPr>
              <w:t xml:space="preserve">Date (plan)</w:t>
            </w:r>
          </w:p>
        </w:tc>
      </w:tr>
      <w:tr>
        <w:tc>
          <w:tcPr>
            <w:tcW w:type="dxa" w:w="1700"/>
            <w:shd w:fill="FFFFFF" w:color="auto" w:val="clear"/>
            <w:tcMar>
              <w:top w:type="dxa" w:w="55"/>
              <w:left w:type="dxa" w:w="90"/>
              <w:bottom w:type="dxa" w:w="55"/>
              <w:right w:type="dxa" w:w="90"/>
            </w:tcMar>
          </w:tcPr>
          <w:p>
            <w:pPr>
              <w:spacing w:after="0" w:line="250"/>
              <w:jc w:val="left"/>
            </w:pPr>
            <w:r>
              <w:rPr>
                <w:color w:val="222222"/>
                <w:sz w:val="19"/>
                <w:szCs w:val="19"/>
              </w:rPr>
              <w:t xml:space="preserve">Phase 1</w:t>
            </w:r>
          </w:p>
        </w:tc>
        <w:tc>
          <w:tcPr>
            <w:tcW w:type="dxa" w:w="3200"/>
            <w:shd w:fill="FFFFFF" w:color="auto" w:val="clear"/>
            <w:tcMar>
              <w:top w:type="dxa" w:w="55"/>
              <w:left w:type="dxa" w:w="90"/>
              <w:bottom w:type="dxa" w:w="55"/>
              <w:right w:type="dxa" w:w="90"/>
            </w:tcMar>
          </w:tcPr>
          <w:p>
            <w:pPr>
              <w:spacing w:after="0" w:line="250"/>
              <w:jc w:val="left"/>
            </w:pPr>
            <w:r>
              <w:rPr>
                <w:color w:val="222222"/>
                <w:sz w:val="19"/>
                <w:szCs w:val="19"/>
              </w:rPr>
              <w:t xml:space="preserve">B0–B3 real baseline’ları (pretrained weights)</w:t>
            </w:r>
          </w:p>
        </w:tc>
        <w:tc>
          <w:tcPr>
            <w:tcW w:type="dxa" w:w="3600"/>
            <w:shd w:fill="FFFFFF" w:color="auto" w:val="clear"/>
            <w:tcMar>
              <w:top w:type="dxa" w:w="55"/>
              <w:left w:type="dxa" w:w="90"/>
              <w:bottom w:type="dxa" w:w="55"/>
              <w:right w:type="dxa" w:w="90"/>
            </w:tcMar>
          </w:tcPr>
          <w:p>
            <w:pPr>
              <w:spacing w:after="0" w:line="250"/>
              <w:jc w:val="left"/>
            </w:pPr>
            <w:r>
              <w:rPr>
                <w:color w:val="222222"/>
                <w:sz w:val="19"/>
                <w:szCs w:val="19"/>
              </w:rPr>
              <w:t xml:space="preserve">20 Tem – 2 Ağu</w:t>
            </w:r>
          </w:p>
        </w:tc>
      </w:tr>
      <w:tr>
        <w:tc>
          <w:tcPr>
            <w:tcW w:type="dxa" w:w="1700"/>
            <w:shd w:fill="E8EEF7" w:color="auto" w:val="clear"/>
            <w:tcMar>
              <w:top w:type="dxa" w:w="55"/>
              <w:left w:type="dxa" w:w="90"/>
              <w:bottom w:type="dxa" w:w="55"/>
              <w:right w:type="dxa" w:w="90"/>
            </w:tcMar>
          </w:tcPr>
          <w:p>
            <w:pPr>
              <w:spacing w:after="0" w:line="250"/>
              <w:jc w:val="left"/>
            </w:pPr>
            <w:r>
              <w:rPr>
                <w:color w:val="C55A11"/>
                <w:sz w:val="19"/>
                <w:szCs w:val="19"/>
              </w:rPr>
              <w:t xml:space="preserve">Phase 2</w:t>
            </w:r>
          </w:p>
        </w:tc>
        <w:tc>
          <w:tcPr>
            <w:tcW w:type="dxa" w:w="3200"/>
            <w:shd w:fill="E8EEF7" w:color="auto" w:val="clear"/>
            <w:tcMar>
              <w:top w:type="dxa" w:w="55"/>
              <w:left w:type="dxa" w:w="90"/>
              <w:bottom w:type="dxa" w:w="55"/>
              <w:right w:type="dxa" w:w="90"/>
            </w:tcMar>
          </w:tcPr>
          <w:p>
            <w:pPr>
              <w:spacing w:after="0" w:line="250"/>
              <w:jc w:val="left"/>
            </w:pPr>
            <w:r>
              <w:rPr>
                <w:color w:val="222222"/>
                <w:sz w:val="19"/>
                <w:szCs w:val="19"/>
              </w:rPr>
              <w:t xml:space="preserve">A1–A6, E1–E3 — foveation &amp; periphery (original contribution)</w:t>
            </w:r>
          </w:p>
        </w:tc>
        <w:tc>
          <w:tcPr>
            <w:tcW w:type="dxa" w:w="3600"/>
            <w:shd w:fill="E8EEF7" w:color="auto" w:val="clear"/>
            <w:tcMar>
              <w:top w:type="dxa" w:w="55"/>
              <w:left w:type="dxa" w:w="90"/>
              <w:bottom w:type="dxa" w:w="55"/>
              <w:right w:type="dxa" w:w="90"/>
            </w:tcMar>
          </w:tcPr>
          <w:p>
            <w:pPr>
              <w:spacing w:after="0" w:line="250"/>
              <w:jc w:val="left"/>
            </w:pPr>
            <w:r>
              <w:rPr>
                <w:color w:val="222222"/>
                <w:sz w:val="19"/>
                <w:szCs w:val="19"/>
              </w:rPr>
              <w:t xml:space="preserve">3 – 16 Ağu</w:t>
            </w:r>
          </w:p>
        </w:tc>
      </w:tr>
      <w:tr>
        <w:tc>
          <w:tcPr>
            <w:tcW w:type="dxa" w:w="1700"/>
            <w:shd w:fill="FFFFFF" w:color="auto" w:val="clear"/>
            <w:tcMar>
              <w:top w:type="dxa" w:w="55"/>
              <w:left w:type="dxa" w:w="90"/>
              <w:bottom w:type="dxa" w:w="55"/>
              <w:right w:type="dxa" w:w="90"/>
            </w:tcMar>
          </w:tcPr>
          <w:p>
            <w:pPr>
              <w:spacing w:after="0" w:line="250"/>
              <w:jc w:val="left"/>
            </w:pPr>
            <w:r>
              <w:rPr>
                <w:color w:val="222222"/>
                <w:sz w:val="19"/>
                <w:szCs w:val="19"/>
              </w:rPr>
              <w:t xml:space="preserve">Phase 3</w:t>
            </w:r>
          </w:p>
        </w:tc>
        <w:tc>
          <w:tcPr>
            <w:tcW w:type="dxa" w:w="3200"/>
            <w:shd w:fill="FFFFFF" w:color="auto" w:val="clear"/>
            <w:tcMar>
              <w:top w:type="dxa" w:w="55"/>
              <w:left w:type="dxa" w:w="90"/>
              <w:bottom w:type="dxa" w:w="55"/>
              <w:right w:type="dxa" w:w="90"/>
            </w:tcMar>
          </w:tcPr>
          <w:p>
            <w:pPr>
              <w:spacing w:after="0" w:line="250"/>
              <w:jc w:val="left"/>
            </w:pPr>
            <w:r>
              <w:rPr>
                <w:color w:val="222222"/>
                <w:sz w:val="19"/>
                <w:szCs w:val="19"/>
              </w:rPr>
              <w:t xml:space="preserve">B7–B9, B12–B13 — V1 front-end &amp; recurrence</w:t>
            </w:r>
          </w:p>
        </w:tc>
        <w:tc>
          <w:tcPr>
            <w:tcW w:type="dxa" w:w="3600"/>
            <w:shd w:fill="FFFFFF" w:color="auto" w:val="clear"/>
            <w:tcMar>
              <w:top w:type="dxa" w:w="55"/>
              <w:left w:type="dxa" w:w="90"/>
              <w:bottom w:type="dxa" w:w="55"/>
              <w:right w:type="dxa" w:w="90"/>
            </w:tcMar>
          </w:tcPr>
          <w:p>
            <w:pPr>
              <w:spacing w:after="0" w:line="250"/>
              <w:jc w:val="left"/>
            </w:pPr>
            <w:r>
              <w:rPr>
                <w:color w:val="222222"/>
                <w:sz w:val="19"/>
                <w:szCs w:val="19"/>
              </w:rPr>
              <w:t xml:space="preserve">17 – 30 Ağu</w:t>
            </w:r>
          </w:p>
        </w:tc>
      </w:tr>
      <w:tr>
        <w:tc>
          <w:tcPr>
            <w:tcW w:type="dxa" w:w="1700"/>
            <w:shd w:fill="E8EEF7" w:color="auto" w:val="clear"/>
            <w:tcMar>
              <w:top w:type="dxa" w:w="55"/>
              <w:left w:type="dxa" w:w="90"/>
              <w:bottom w:type="dxa" w:w="55"/>
              <w:right w:type="dxa" w:w="90"/>
            </w:tcMar>
          </w:tcPr>
          <w:p>
            <w:pPr>
              <w:spacing w:after="0" w:line="250"/>
              <w:jc w:val="left"/>
            </w:pPr>
            <w:r>
              <w:rPr>
                <w:color w:val="222222"/>
                <w:sz w:val="19"/>
                <w:szCs w:val="19"/>
              </w:rPr>
              <w:t xml:space="preserve">Phase 4</w:t>
            </w:r>
          </w:p>
        </w:tc>
        <w:tc>
          <w:tcPr>
            <w:tcW w:type="dxa" w:w="3200"/>
            <w:shd w:fill="E8EEF7" w:color="auto" w:val="clear"/>
            <w:tcMar>
              <w:top w:type="dxa" w:w="55"/>
              <w:left w:type="dxa" w:w="90"/>
              <w:bottom w:type="dxa" w:w="55"/>
              <w:right w:type="dxa" w:w="90"/>
            </w:tcMar>
          </w:tcPr>
          <w:p>
            <w:pPr>
              <w:spacing w:after="0" w:line="250"/>
              <w:jc w:val="left"/>
            </w:pPr>
            <w:r>
              <w:rPr>
                <w:color w:val="222222"/>
                <w:sz w:val="19"/>
                <w:szCs w:val="19"/>
              </w:rPr>
              <w:t xml:space="preserve">D1–D4 — IT-feedback &amp; multi-glance</w:t>
            </w:r>
          </w:p>
        </w:tc>
        <w:tc>
          <w:tcPr>
            <w:tcW w:type="dxa" w:w="3600"/>
            <w:shd w:fill="E8EEF7" w:color="auto" w:val="clear"/>
            <w:tcMar>
              <w:top w:type="dxa" w:w="55"/>
              <w:left w:type="dxa" w:w="90"/>
              <w:bottom w:type="dxa" w:w="55"/>
              <w:right w:type="dxa" w:w="90"/>
            </w:tcMar>
          </w:tcPr>
          <w:p>
            <w:pPr>
              <w:spacing w:after="0" w:line="250"/>
              <w:jc w:val="left"/>
            </w:pPr>
            <w:r>
              <w:rPr>
                <w:color w:val="222222"/>
                <w:sz w:val="19"/>
                <w:szCs w:val="19"/>
              </w:rPr>
              <w:t xml:space="preserve">31 Ağu – 13 Eyl</w:t>
            </w:r>
          </w:p>
        </w:tc>
      </w:tr>
      <w:tr>
        <w:tc>
          <w:tcPr>
            <w:tcW w:type="dxa" w:w="1700"/>
            <w:shd w:fill="FFFFFF" w:color="auto" w:val="clear"/>
            <w:tcMar>
              <w:top w:type="dxa" w:w="55"/>
              <w:left w:type="dxa" w:w="90"/>
              <w:bottom w:type="dxa" w:w="55"/>
              <w:right w:type="dxa" w:w="90"/>
            </w:tcMar>
          </w:tcPr>
          <w:p>
            <w:pPr>
              <w:spacing w:after="0" w:line="250"/>
              <w:jc w:val="left"/>
            </w:pPr>
            <w:r>
              <w:rPr>
                <w:color w:val="222222"/>
                <w:sz w:val="19"/>
                <w:szCs w:val="19"/>
              </w:rPr>
              <w:t xml:space="preserve">Phase 5</w:t>
            </w:r>
          </w:p>
        </w:tc>
        <w:tc>
          <w:tcPr>
            <w:tcW w:type="dxa" w:w="3200"/>
            <w:shd w:fill="FFFFFF" w:color="auto" w:val="clear"/>
            <w:tcMar>
              <w:top w:type="dxa" w:w="55"/>
              <w:left w:type="dxa" w:w="90"/>
              <w:bottom w:type="dxa" w:w="55"/>
              <w:right w:type="dxa" w:w="90"/>
            </w:tcMar>
          </w:tcPr>
          <w:p>
            <w:pPr>
              <w:spacing w:after="0" w:line="250"/>
              <w:jc w:val="left"/>
            </w:pPr>
            <w:r>
              <w:rPr>
                <w:color w:val="222222"/>
                <w:sz w:val="19"/>
                <w:szCs w:val="19"/>
              </w:rPr>
              <w:t xml:space="preserve">All conditions × MFTMA + metamer</w:t>
            </w:r>
          </w:p>
        </w:tc>
        <w:tc>
          <w:tcPr>
            <w:tcW w:type="dxa" w:w="3600"/>
            <w:shd w:fill="FFFFFF" w:color="auto" w:val="clear"/>
            <w:tcMar>
              <w:top w:type="dxa" w:w="55"/>
              <w:left w:type="dxa" w:w="90"/>
              <w:bottom w:type="dxa" w:w="55"/>
              <w:right w:type="dxa" w:w="90"/>
            </w:tcMar>
          </w:tcPr>
          <w:p>
            <w:pPr>
              <w:spacing w:after="0" w:line="250"/>
              <w:jc w:val="left"/>
            </w:pPr>
            <w:r>
              <w:rPr>
                <w:color w:val="222222"/>
                <w:sz w:val="19"/>
                <w:szCs w:val="19"/>
              </w:rPr>
              <w:t xml:space="preserve">14 – 23 Eyl</w:t>
            </w:r>
          </w:p>
        </w:tc>
      </w:tr>
      <w:tr>
        <w:tc>
          <w:tcPr>
            <w:tcW w:type="dxa" w:w="1700"/>
            <w:shd w:fill="E8EEF7" w:color="auto" w:val="clear"/>
            <w:tcMar>
              <w:top w:type="dxa" w:w="55"/>
              <w:left w:type="dxa" w:w="90"/>
              <w:bottom w:type="dxa" w:w="55"/>
              <w:right w:type="dxa" w:w="90"/>
            </w:tcMar>
          </w:tcPr>
          <w:p>
            <w:pPr>
              <w:spacing w:after="0" w:line="250"/>
              <w:jc w:val="left"/>
            </w:pPr>
            <w:r>
              <w:rPr>
                <w:color w:val="222222"/>
                <w:sz w:val="19"/>
                <w:szCs w:val="19"/>
              </w:rPr>
              <w:t xml:space="preserve">Phase 6</w:t>
            </w:r>
          </w:p>
        </w:tc>
        <w:tc>
          <w:tcPr>
            <w:tcW w:type="dxa" w:w="3200"/>
            <w:shd w:fill="E8EEF7" w:color="auto" w:val="clear"/>
            <w:tcMar>
              <w:top w:type="dxa" w:w="55"/>
              <w:left w:type="dxa" w:w="90"/>
              <w:bottom w:type="dxa" w:w="55"/>
              <w:right w:type="dxa" w:w="90"/>
            </w:tcMar>
          </w:tcPr>
          <w:p>
            <w:pPr>
              <w:spacing w:after="0" w:line="250"/>
              <w:jc w:val="left"/>
            </w:pPr>
            <w:r>
              <w:rPr>
                <w:color w:val="222222"/>
                <w:sz w:val="19"/>
                <w:szCs w:val="19"/>
              </w:rPr>
              <w:t xml:space="preserve">Full model + leave-one-out summary</w:t>
            </w:r>
          </w:p>
        </w:tc>
        <w:tc>
          <w:tcPr>
            <w:tcW w:type="dxa" w:w="3600"/>
            <w:shd w:fill="E8EEF7" w:color="auto" w:val="clear"/>
            <w:tcMar>
              <w:top w:type="dxa" w:w="55"/>
              <w:left w:type="dxa" w:w="90"/>
              <w:bottom w:type="dxa" w:w="55"/>
              <w:right w:type="dxa" w:w="90"/>
            </w:tcMar>
          </w:tcPr>
          <w:p>
            <w:pPr>
              <w:spacing w:after="0" w:line="250"/>
              <w:jc w:val="left"/>
            </w:pPr>
            <w:r>
              <w:rPr>
                <w:color w:val="222222"/>
                <w:sz w:val="19"/>
                <w:szCs w:val="19"/>
              </w:rPr>
              <w:t xml:space="preserve">24 – 28 Eyl</w:t>
            </w:r>
          </w:p>
        </w:tc>
      </w:tr>
    </w:tbl>
    <w:p>
      <w:pPr>
        <w:spacing w:after="50"/>
      </w:pPr>
    </w:p>
    <w:p>
      <w:pPr>
        <w:spacing w:after="120" w:line="276"/>
      </w:pPr>
      <w:r>
        <w:rPr>
          <w:color w:val="222222"/>
          <w:sz w:val="21"/>
          <w:szCs w:val="21"/>
        </w:rPr>
        <w:t xml:space="preserve">Priority rule: P1 (core) ablation’lar önce, P3 yalnızca zaman kalırsa. Original component’lar (trace-based periphery, IT-feedback) prioritized’dır. Risk’ler ve mitigation’ları: Colab session drop → checkpoint+resume; stochastic front-end’de spurious robustness → EOT-N zorunlu; R-Blur/FoveaTer resmi repo yok → paper’dan reimplement edilir.</w:t>
      </w:r>
    </w:p>
    <w:p>
      <w:pPr>
        <w:pStyle w:val="Heading1"/>
        <w:spacing w:after="140" w:before="320"/>
      </w:pPr>
      <w:r>
        <w:rPr>
          <w:b/>
          <w:bCs/>
          <w:color w:val="1F3864"/>
        </w:rPr>
        <w:t xml:space="preserve">11. Toplantı İçin Discussion Points</w:t>
      </w:r>
    </w:p>
    <w:p>
      <w:pPr>
        <w:pStyle w:val="ListParagraph"/>
        <w:numPr>
          <w:ilvl w:val="0"/>
          <w:numId w:val="1"/>
        </w:numPr>
        <w:spacing w:after="70" w:line="270"/>
      </w:pPr>
      <w:r>
        <w:rPr>
          <w:color w:val="222222"/>
          <w:sz w:val="21"/>
          <w:szCs w:val="21"/>
        </w:rPr>
        <w:t xml:space="preserve">Ablation axis’lerinin "equal SNR budget" constraint’i (A2/A3/A4) yeterince fair mı; SNR matching hangi layer’da (pixel mi, V1 output mu) yapılmalı?</w:t>
      </w:r>
    </w:p>
    <w:p>
      <w:pPr>
        <w:pStyle w:val="ListParagraph"/>
        <w:numPr>
          <w:ilvl w:val="0"/>
          <w:numId w:val="1"/>
        </w:numPr>
        <w:spacing w:after="70" w:line="270"/>
      </w:pPr>
      <w:r>
        <w:rPr>
          <w:color w:val="222222"/>
          <w:sz w:val="21"/>
          <w:szCs w:val="21"/>
        </w:rPr>
        <w:t xml:space="preserve">MFTMA certification için layer seçimi (V1 output / ventral middle / IT) ve sample-per-class sayısı (~50) yeterli mi?</w:t>
      </w:r>
    </w:p>
    <w:p>
      <w:pPr>
        <w:pStyle w:val="ListParagraph"/>
        <w:numPr>
          <w:ilvl w:val="0"/>
          <w:numId w:val="1"/>
        </w:numPr>
        <w:spacing w:after="70" w:line="270"/>
      </w:pPr>
      <w:r>
        <w:rPr>
          <w:color w:val="222222"/>
          <w:sz w:val="21"/>
          <w:szCs w:val="21"/>
        </w:rPr>
        <w:t xml:space="preserve">C4’te CORnet-S’i main backbone yapmak yerine reference tutmak doğru tercih mi; Brain-Score priority scalability’den önce mi gelmeli?</w:t>
      </w:r>
    </w:p>
    <w:p>
      <w:pPr>
        <w:pStyle w:val="ListParagraph"/>
        <w:numPr>
          <w:ilvl w:val="0"/>
          <w:numId w:val="1"/>
        </w:numPr>
        <w:spacing w:after="70" w:line="270"/>
      </w:pPr>
      <w:r>
        <w:rPr>
          <w:color w:val="222222"/>
          <w:sz w:val="21"/>
          <w:szCs w:val="21"/>
        </w:rPr>
        <w:t xml:space="preserve">Priority: sınırlı sürede ImageNet-1K full scale mı, yoksa ImageNet-100 subset’iyle daha çok ablation mı?</w:t>
      </w:r>
    </w:p>
    <w:p>
      <w:pPr>
        <w:pStyle w:val="ListParagraph"/>
        <w:numPr>
          <w:ilvl w:val="0"/>
          <w:numId w:val="1"/>
        </w:numPr>
        <w:spacing w:after="70" w:line="270"/>
      </w:pPr>
      <w:r>
        <w:rPr>
          <w:color w:val="222222"/>
          <w:sz w:val="21"/>
          <w:szCs w:val="21"/>
        </w:rPr>
        <w:t xml:space="preserve">E3 (robustness without adversarial training) tezin en iddialı question’ı — bunu primary contribution olarak öne çıkaralım mı?</w:t>
      </w:r>
    </w:p>
    <w:p>
      <w:pPr>
        <w:pStyle w:val="Heading1"/>
        <w:spacing w:after="140" w:before="320"/>
      </w:pPr>
      <w:r>
        <w:rPr>
          <w:b/>
          <w:bCs/>
          <w:color w:val="1F3864"/>
        </w:rPr>
        <w:t xml:space="preserve">12. Selected References</w:t>
      </w:r>
    </w:p>
    <w:p>
      <w:pPr>
        <w:spacing w:after="70" w:line="264"/>
      </w:pPr>
      <w:r>
        <w:rPr>
          <w:color w:val="333333"/>
          <w:sz w:val="18"/>
          <w:szCs w:val="18"/>
        </w:rPr>
        <w:t xml:space="preserve">• Dapello, J. ve ark. (2020). Simulating a Primary Visual Cortex at the Front of CNNs Improves Robustness to Image Perturbations. NeurIPS. [VOneNet]</w:t>
      </w:r>
    </w:p>
    <w:p>
      <w:pPr>
        <w:spacing w:after="70" w:line="264"/>
      </w:pPr>
      <w:r>
        <w:rPr>
          <w:color w:val="333333"/>
          <w:sz w:val="18"/>
          <w:szCs w:val="18"/>
        </w:rPr>
        <w:t xml:space="preserve">• Kubilius, J. ve ark. (2019). Brain-Like Object Recognition with High-Performing Shallow Recurrent ANNs. NeurIPS. [CORnet-S]</w:t>
      </w:r>
    </w:p>
    <w:p>
      <w:pPr>
        <w:spacing w:after="70" w:line="264"/>
      </w:pPr>
      <w:r>
        <w:rPr>
          <w:color w:val="333333"/>
          <w:sz w:val="18"/>
          <w:szCs w:val="18"/>
        </w:rPr>
        <w:t xml:space="preserve">• Watson, A. B. (2014). A formula for human retinal ganglion cell receptive field density as a function of visual field location. J. Vision 14(7):15. [mRGC / SNR basis]</w:t>
      </w:r>
    </w:p>
    <w:p>
      <w:pPr>
        <w:spacing w:after="70" w:line="264"/>
      </w:pPr>
      <w:r>
        <w:rPr>
          <w:color w:val="333333"/>
          <w:sz w:val="18"/>
          <w:szCs w:val="18"/>
        </w:rPr>
        <w:t xml:space="preserve">• Shah &amp; Raj (2023). Improved robustness via foveated / retinal blur training (R-Blur). arXiv:2308.00854. [C1 reference]</w:t>
      </w:r>
    </w:p>
    <w:p>
      <w:pPr>
        <w:spacing w:after="70" w:line="264"/>
      </w:pPr>
      <w:r>
        <w:rPr>
          <w:color w:val="333333"/>
          <w:sz w:val="18"/>
          <w:szCs w:val="18"/>
        </w:rPr>
        <w:t xml:space="preserve">• Thavamani, C. ve ark. (2021). FOVEA: Foveated Image Magnification for Autonomous Navigation. ICCV.</w:t>
      </w:r>
    </w:p>
    <w:p>
      <w:pPr>
        <w:spacing w:after="70" w:line="264"/>
      </w:pPr>
      <w:r>
        <w:rPr>
          <w:color w:val="333333"/>
          <w:sz w:val="18"/>
          <w:szCs w:val="18"/>
        </w:rPr>
        <w:t xml:space="preserve">• Wang, Y. ve ark. (2020). Glance and Focus (GFNet). NeurIPS. [confidence halting]</w:t>
      </w:r>
    </w:p>
    <w:p>
      <w:pPr>
        <w:spacing w:after="70" w:line="264"/>
      </w:pPr>
      <w:r>
        <w:rPr>
          <w:color w:val="333333"/>
          <w:sz w:val="18"/>
          <w:szCs w:val="18"/>
        </w:rPr>
        <w:t xml:space="preserve">• Mnih, V. ve ark. (2014). Recurrent Models of Visual Attention (RAM). NeurIPS. [REINFORCE fixation]</w:t>
      </w:r>
    </w:p>
    <w:p>
      <w:pPr>
        <w:spacing w:after="70" w:line="264"/>
      </w:pPr>
      <w:r>
        <w:rPr>
          <w:color w:val="333333"/>
          <w:sz w:val="18"/>
          <w:szCs w:val="18"/>
        </w:rPr>
        <w:t xml:space="preserve">• Chung, S., Cohen, U. ve ark. Classification and Geometry of General Perceptual Manifolds / replicaMFT. [MFTMA]</w:t>
      </w:r>
    </w:p>
    <w:p>
      <w:pPr>
        <w:spacing w:after="70" w:line="264"/>
      </w:pPr>
      <w:r>
        <w:rPr>
          <w:color w:val="333333"/>
          <w:sz w:val="18"/>
          <w:szCs w:val="18"/>
        </w:rPr>
        <w:t xml:space="preserve">• Dapello, Chung ve ark. Neural Population Geometry Reveals the Role of Stochasticity in Robust Perception.</w:t>
      </w:r>
    </w:p>
    <w:p>
      <w:pPr>
        <w:spacing w:after="70" w:line="264"/>
      </w:pPr>
      <w:r>
        <w:rPr>
          <w:color w:val="333333"/>
          <w:sz w:val="18"/>
          <w:szCs w:val="18"/>
        </w:rPr>
        <w:t xml:space="preserve">• Freeman &amp; Simoncelli. Metamers of the ventral stream. [peripheral metamer basis]</w:t>
      </w:r>
    </w:p>
    <w:p>
      <w:pPr>
        <w:spacing w:after="70" w:line="264"/>
      </w:pPr>
      <w:r>
        <w:rPr>
          <w:color w:val="333333"/>
          <w:sz w:val="18"/>
          <w:szCs w:val="18"/>
        </w:rPr>
        <w:t xml:space="preserve">• Hendrycks &amp; Dietterich (2019). Benchmarking Neural Network Robustness (ImageNet-C, mCE).</w:t>
      </w:r>
    </w:p>
    <w:p>
      <w:pPr>
        <w:spacing w:after="70" w:line="264"/>
      </w:pPr>
      <w:r>
        <w:rPr>
          <w:color w:val="333333"/>
          <w:sz w:val="18"/>
          <w:szCs w:val="18"/>
        </w:rPr>
        <w:t xml:space="preserve">• Geirhos, R. ve ark. Shape bias / cue-conflict (Stylized-ImageNet).</w:t>
      </w:r>
    </w:p>
    <w:p>
      <w:pPr>
        <w:spacing w:after="120"/>
      </w:pPr>
    </w:p>
    <w:p>
      <w:pPr>
        <w:jc w:val="center"/>
      </w:pPr>
      <w:r>
        <w:rPr>
          <w:i/>
          <w:iCs/>
          <w:color w:val="595959"/>
          <w:sz w:val="16"/>
          <w:szCs w:val="16"/>
        </w:rPr>
        <w:t xml:space="preserve">Bu belge, tez repo’sundaki README, docs/ (experiment-plan, technical-guide, trace-based-noise-guide) ve results/ çıktılarından derlenmiştir.</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Biyolojik Görü Modelleri — Deney Ortamları ve İlişki</dc:title>
  <dc:creator>Resul Levent Kuru</dc:creator>
  <cp:lastModifiedBy>Un-named</cp:lastModifiedBy>
  <cp:revision>1</cp:revision>
  <dcterms:created xsi:type="dcterms:W3CDTF">2026-07-14T11:32:44.818Z</dcterms:created>
  <dcterms:modified xsi:type="dcterms:W3CDTF">2026-07-14T11:32:44.819Z</dcterms:modified>
</cp:coreProperties>
</file>

<file path=docProps/custom.xml><?xml version="1.0" encoding="utf-8"?>
<Properties xmlns="http://schemas.openxmlformats.org/officeDocument/2006/custom-properties" xmlns:vt="http://schemas.openxmlformats.org/officeDocument/2006/docPropsVTypes"/>
</file>