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B7280"/>
          <w:sz w:val="16"/>
          <w:szCs w:val="16"/>
        </w:rPr>
        <w:t xml:space="preserve">AKDENIZ UNIVERSITY  ·  FACULTY OF ENGINEERING  ·  DEPARTMENT OF COMPUTER ENGINEERING</w:t>
      </w:r>
    </w:p>
    <w:p>
      <w:pPr>
        <w:pBdr>
          <w:bottom w:val="single" w:color="1F3B73" w:sz="12" w:space="6"/>
        </w:pBdr>
        <w:spacing w:after="160"/>
      </w:pPr>
      <w:r>
        <w:rPr>
          <w:b/>
          <w:bCs/>
          <w:color w:val="1F3B73"/>
          <w:sz w:val="30"/>
          <w:szCs w:val="30"/>
        </w:rPr>
        <w:t xml:space="preserve">CSE 491 — Supervisor Meeting Form</w:t>
      </w:r>
    </w:p>
    <w:p>
      <w:pPr>
        <w:spacing w:after="160"/>
      </w:pPr>
      <w:r>
        <w:rPr>
          <w:color w:val="5B6270"/>
          <w:sz w:val="17"/>
          <w:szCs w:val="17"/>
        </w:rPr>
        <w:t xml:space="preserve">Complete one form per meeting. Fill it out during the meeting, have it signed by the project supervisor, and upload the signed copy to the course MS Teams channel within one week of the meeting. If you have a problem, contact the course assistant through MS Teams.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500"/>
        <w:gridCol w:w="3126"/>
      </w:tblGrid>
      <w:tr>
        <w:trPr>
          <w:cantSplit/>
          <w:trHeight w:val="400" w:hRule="atLeast"/>
        </w:trPr>
        <w:tc>
          <w:tcPr>
            <w:tcW w:type="dxa" w:w="2400"/>
            <w:tcBorders>
              <w:top w:val="single" w:color="CCD3E0" w:sz="4"/>
              <w:left w:val="single" w:color="CCD3E0" w:sz="4"/>
              <w:bottom w:val="single" w:color="CCD3E0" w:sz="4"/>
              <w:right w:val="single" w:color="CCD3E0" w:sz="4"/>
            </w:tcBorders>
            <w:shd w:fill="F7F9FC" w:color="auto" w:val="clear"/>
            <w:tcMar>
              <w:top w:type="dxa" w:w="60"/>
              <w:left w:type="dxa" w:w="90"/>
              <w:bottom w:type="dxa" w:w="60"/>
              <w:right w:type="dxa" w:w="90"/>
            </w:tcMar>
            <w:vAlign w:val="top"/>
          </w:tcPr>
          <w:p>
            <w:r>
              <w:rPr>
                <w:b/>
                <w:bCs/>
                <w:sz w:val="18"/>
                <w:szCs w:val="18"/>
              </w:rPr>
              <w:t xml:space="preserve">Project title</w:t>
            </w:r>
          </w:p>
        </w:tc>
        <w:tc>
          <w:tcPr>
            <w:tcW w:type="dxa" w:w="6626"/>
            <w:gridSpan w:val="3"/>
            <w:tcBorders>
              <w:top w:val="single" w:color="CCD3E0" w:sz="4"/>
              <w:left w:val="single" w:color="CCD3E0" w:sz="4"/>
              <w:bottom w:val="single" w:color="CCD3E0" w:sz="4"/>
              <w:right w:val="single" w:color="CCD3E0" w:sz="4"/>
            </w:tcBorders>
            <w:tcMar>
              <w:top w:type="dxa" w:w="60"/>
              <w:left w:type="dxa" w:w="90"/>
              <w:bottom w:type="dxa" w:w="60"/>
              <w:right w:type="dxa" w:w="90"/>
            </w:tcMar>
            <w:vAlign w:val="top"/>
          </w:tcPr>
          <w:p>
            <w:r>
              <w:rPr>
                <w:sz w:val="18"/>
                <w:szCs w:val="18"/>
              </w:rPr>
              <w:t>NutriScan: Evidence-Based Food Ingredient and Health-Condition Matching</w:t>
            </w:r>
          </w:p>
        </w:tc>
      </w:tr>
      <w:tr>
        <w:trPr>
          <w:cantSplit/>
          <w:trHeight w:val="840" w:hRule="atLeast"/>
        </w:trPr>
        <w:tc>
          <w:tcPr>
            <w:tcW w:type="dxa" w:w="2400"/>
            <w:tcBorders>
              <w:top w:val="single" w:color="CCD3E0" w:sz="4"/>
              <w:left w:val="single" w:color="CCD3E0" w:sz="4"/>
              <w:bottom w:val="single" w:color="CCD3E0" w:sz="4"/>
              <w:right w:val="single" w:color="CCD3E0" w:sz="4"/>
            </w:tcBorders>
            <w:shd w:fill="F7F9FC" w:color="auto" w:val="clear"/>
            <w:tcMar>
              <w:top w:type="dxa" w:w="60"/>
              <w:left w:type="dxa" w:w="90"/>
              <w:bottom w:type="dxa" w:w="60"/>
              <w:right w:type="dxa" w:w="90"/>
            </w:tcMar>
            <w:vAlign w:val="top"/>
          </w:tcPr>
          <w:p>
            <w:r>
              <w:rPr>
                <w:b/>
                <w:bCs/>
                <w:sz w:val="18"/>
                <w:szCs w:val="18"/>
              </w:rPr>
              <w:t xml:space="preserve">Group members (name, no.)</w:t>
            </w:r>
          </w:p>
        </w:tc>
        <w:tc>
          <w:tcPr>
            <w:tcW w:type="dxa" w:w="6626"/>
            <w:gridSpan w:val="3"/>
            <w:tcBorders>
              <w:top w:val="single" w:color="CCD3E0" w:sz="4"/>
              <w:left w:val="single" w:color="CCD3E0" w:sz="4"/>
              <w:bottom w:val="single" w:color="CCD3E0" w:sz="4"/>
              <w:right w:val="single" w:color="CCD3E0" w:sz="4"/>
            </w:tcBorders>
            <w:tcMar>
              <w:top w:type="dxa" w:w="60"/>
              <w:left w:type="dxa" w:w="90"/>
              <w:bottom w:type="dxa" w:w="60"/>
              <w:right w:type="dxa" w:w="90"/>
            </w:tcMar>
            <w:vAlign w:val="top"/>
          </w:tcPr>
          <w:p>
            <w:r>
              <w:rPr>
                <w:sz w:val="18"/>
                <w:szCs w:val="18"/>
              </w:rPr>
              <w:t>Levent Can Ceylan (20220808045); Şükran Hilal Hocaoğlu (20210808005); Ozan Karadaş (20220808007)</w:t>
            </w:r>
          </w:p>
        </w:tc>
      </w:tr>
      <w:tr>
        <w:trPr>
          <w:cantSplit/>
          <w:trHeight w:val="400" w:hRule="atLeast"/>
        </w:trPr>
        <w:tc>
          <w:tcPr>
            <w:tcW w:type="dxa" w:w="2400"/>
            <w:tcBorders>
              <w:top w:val="single" w:color="CCD3E0" w:sz="4"/>
              <w:left w:val="single" w:color="CCD3E0" w:sz="4"/>
              <w:bottom w:val="single" w:color="CCD3E0" w:sz="4"/>
              <w:right w:val="single" w:color="CCD3E0" w:sz="4"/>
            </w:tcBorders>
            <w:shd w:fill="F7F9FC" w:color="auto" w:val="clear"/>
            <w:tcMar>
              <w:top w:type="dxa" w:w="60"/>
              <w:left w:type="dxa" w:w="90"/>
              <w:bottom w:type="dxa" w:w="60"/>
              <w:right w:type="dxa" w:w="90"/>
            </w:tcMar>
            <w:vAlign w:val="top"/>
          </w:tcPr>
          <w:p>
            <w:r>
              <w:rPr>
                <w:b/>
                <w:bCs/>
                <w:sz w:val="18"/>
                <w:szCs w:val="18"/>
              </w:rPr>
              <w:t xml:space="preserve">Project supervisor</w:t>
            </w:r>
          </w:p>
        </w:tc>
        <w:tc>
          <w:tcPr>
            <w:tcW w:type="dxa" w:w="2000"/>
            <w:tcBorders>
              <w:top w:val="single" w:color="CCD3E0" w:sz="4"/>
              <w:left w:val="single" w:color="CCD3E0" w:sz="4"/>
              <w:bottom w:val="single" w:color="CCD3E0" w:sz="4"/>
              <w:right w:val="single" w:color="CCD3E0" w:sz="4"/>
            </w:tcBorders>
            <w:tcMar>
              <w:top w:type="dxa" w:w="60"/>
              <w:left w:type="dxa" w:w="90"/>
              <w:bottom w:type="dxa" w:w="60"/>
              <w:right w:type="dxa" w:w="90"/>
            </w:tcMar>
            <w:vAlign w:val="top"/>
          </w:tcPr>
          <w:p>
            <w:r>
              <w:rPr>
                <w:sz w:val="18"/>
                <w:szCs w:val="18"/>
              </w:rPr>
              <w:t>Dr. Taha Yiğit Alkan</w:t>
            </w:r>
          </w:p>
        </w:tc>
        <w:tc>
          <w:tcPr>
            <w:tcW w:type="dxa" w:w="1500"/>
            <w:tcBorders>
              <w:top w:val="single" w:color="CCD3E0" w:sz="4"/>
              <w:left w:val="single" w:color="CCD3E0" w:sz="4"/>
              <w:bottom w:val="single" w:color="CCD3E0" w:sz="4"/>
              <w:right w:val="single" w:color="CCD3E0" w:sz="4"/>
            </w:tcBorders>
            <w:shd w:fill="F7F9FC" w:color="auto" w:val="clear"/>
            <w:tcMar>
              <w:top w:type="dxa" w:w="60"/>
              <w:left w:type="dxa" w:w="90"/>
              <w:bottom w:type="dxa" w:w="60"/>
              <w:right w:type="dxa" w:w="90"/>
            </w:tcMar>
            <w:vAlign w:val="top"/>
          </w:tcPr>
          <w:p>
            <w:r>
              <w:rPr>
                <w:b/>
                <w:bCs/>
                <w:sz w:val="18"/>
                <w:szCs w:val="18"/>
              </w:rPr>
              <w:t xml:space="preserve">Meeting no.</w:t>
            </w:r>
          </w:p>
        </w:tc>
        <w:tc>
          <w:tcPr>
            <w:tcW w:type="dxa" w:w="3126"/>
            <w:tcBorders>
              <w:top w:val="single" w:color="CCD3E0" w:sz="4"/>
              <w:left w:val="single" w:color="CCD3E0" w:sz="4"/>
              <w:bottom w:val="single" w:color="CCD3E0" w:sz="4"/>
              <w:right w:val="single" w:color="CCD3E0" w:sz="4"/>
            </w:tcBorders>
            <w:tcMar>
              <w:top w:type="dxa" w:w="60"/>
              <w:left w:type="dxa" w:w="90"/>
              <w:bottom w:type="dxa" w:w="60"/>
              <w:right w:type="dxa" w:w="90"/>
            </w:tcMar>
            <w:vAlign w:val="top"/>
          </w:tcPr>
          <w:p>
            <w:r>
              <w:rPr>
                <w:sz w:val="18"/>
                <w:szCs w:val="18"/>
              </w:rPr>
              <w:t>4</w:t>
            </w:r>
          </w:p>
        </w:tc>
      </w:tr>
      <w:tr>
        <w:trPr>
          <w:cantSplit/>
          <w:trHeight w:val="400" w:hRule="atLeast"/>
        </w:trPr>
        <w:tc>
          <w:tcPr>
            <w:tcW w:type="dxa" w:w="2400"/>
            <w:tcBorders>
              <w:top w:val="single" w:color="CCD3E0" w:sz="4"/>
              <w:left w:val="single" w:color="CCD3E0" w:sz="4"/>
              <w:bottom w:val="single" w:color="CCD3E0" w:sz="4"/>
              <w:right w:val="single" w:color="CCD3E0" w:sz="4"/>
            </w:tcBorders>
            <w:shd w:fill="F7F9FC" w:color="auto" w:val="clear"/>
            <w:tcMar>
              <w:top w:type="dxa" w:w="60"/>
              <w:left w:type="dxa" w:w="90"/>
              <w:bottom w:type="dxa" w:w="60"/>
              <w:right w:type="dxa" w:w="90"/>
            </w:tcMar>
            <w:vAlign w:val="top"/>
          </w:tcPr>
          <w:p>
            <w:r>
              <w:rPr>
                <w:b/>
                <w:bCs/>
                <w:sz w:val="18"/>
                <w:szCs w:val="18"/>
              </w:rPr>
              <w:t xml:space="preserve">Date / duration</w:t>
            </w:r>
          </w:p>
        </w:tc>
        <w:tc>
          <w:tcPr>
            <w:tcW w:type="dxa" w:w="2000"/>
            <w:tcBorders>
              <w:top w:val="single" w:color="CCD3E0" w:sz="4"/>
              <w:left w:val="single" w:color="CCD3E0" w:sz="4"/>
              <w:bottom w:val="single" w:color="CCD3E0" w:sz="4"/>
              <w:right w:val="single" w:color="CCD3E0" w:sz="4"/>
            </w:tcBorders>
            <w:tcMar>
              <w:top w:type="dxa" w:w="60"/>
              <w:left w:type="dxa" w:w="90"/>
              <w:bottom w:type="dxa" w:w="60"/>
              <w:right w:type="dxa" w:w="90"/>
            </w:tcMar>
            <w:vAlign w:val="top"/>
          </w:tcPr>
          <w:p>
            <w:r>
              <w:rPr>
                <w:sz w:val="18"/>
                <w:szCs w:val="18"/>
              </w:rPr>
              <w:t>23 October 2026 / 10 minutes</w:t>
            </w:r>
          </w:p>
        </w:tc>
        <w:tc>
          <w:tcPr>
            <w:tcW w:type="dxa" w:w="1500"/>
            <w:tcBorders>
              <w:top w:val="single" w:color="CCD3E0" w:sz="4"/>
              <w:left w:val="single" w:color="CCD3E0" w:sz="4"/>
              <w:bottom w:val="single" w:color="CCD3E0" w:sz="4"/>
              <w:right w:val="single" w:color="CCD3E0" w:sz="4"/>
            </w:tcBorders>
            <w:shd w:fill="F7F9FC" w:color="auto" w:val="clear"/>
            <w:tcMar>
              <w:top w:type="dxa" w:w="60"/>
              <w:left w:type="dxa" w:w="90"/>
              <w:bottom w:type="dxa" w:w="60"/>
              <w:right w:type="dxa" w:w="90"/>
            </w:tcMar>
            <w:vAlign w:val="top"/>
          </w:tcPr>
          <w:p>
            <w:r>
              <w:rPr>
                <w:b/>
                <w:bCs/>
                <w:sz w:val="18"/>
                <w:szCs w:val="18"/>
              </w:rPr>
              <w:t xml:space="preserve">Attendees</w:t>
            </w:r>
          </w:p>
        </w:tc>
        <w:tc>
          <w:tcPr>
            <w:tcW w:type="dxa" w:w="3126"/>
            <w:tcBorders>
              <w:top w:val="single" w:color="CCD3E0" w:sz="4"/>
              <w:left w:val="single" w:color="CCD3E0" w:sz="4"/>
              <w:bottom w:val="single" w:color="CCD3E0" w:sz="4"/>
              <w:right w:val="single" w:color="CCD3E0" w:sz="4"/>
            </w:tcBorders>
            <w:tcMar>
              <w:top w:type="dxa" w:w="60"/>
              <w:left w:type="dxa" w:w="90"/>
              <w:bottom w:type="dxa" w:w="60"/>
              <w:right w:type="dxa" w:w="90"/>
            </w:tcMar>
            <w:vAlign w:val="top"/>
          </w:tcPr>
          <w:p>
            <w:r>
              <w:rPr>
                <w:sz w:val="18"/>
                <w:szCs w:val="18"/>
              </w:rPr>
              <w:t>Levent Can Ceylan; Şükran Hilal Hocaoğlu; Ozan Karadaş</w:t>
            </w:r>
          </w:p>
        </w:tc>
      </w:tr>
      <w:tr>
        <w:trPr>
          <w:cantSplit/>
          <w:trHeight w:val="1880" w:hRule="atLeast"/>
        </w:trPr>
        <w:tc>
          <w:tcPr>
            <w:tcW w:type="dxa" w:w="2400"/>
            <w:tcBorders>
              <w:top w:val="single" w:color="CCD3E0" w:sz="4"/>
              <w:left w:val="single" w:color="CCD3E0" w:sz="4"/>
              <w:bottom w:val="single" w:color="CCD3E0" w:sz="4"/>
              <w:right w:val="single" w:color="CCD3E0" w:sz="4"/>
            </w:tcBorders>
            <w:shd w:fill="F7F9FC" w:color="auto" w:val="clear"/>
            <w:tcMar>
              <w:top w:type="dxa" w:w="60"/>
              <w:left w:type="dxa" w:w="90"/>
              <w:bottom w:type="dxa" w:w="60"/>
              <w:right w:type="dxa" w:w="90"/>
            </w:tcMar>
            <w:vAlign w:val="top"/>
          </w:tcPr>
          <w:p>
            <w:r>
              <w:rPr>
                <w:b/>
                <w:bCs/>
                <w:sz w:val="18"/>
                <w:szCs w:val="18"/>
              </w:rPr>
              <w:t xml:space="preserve">Work completed since the last meeting</w:t>
            </w:r>
          </w:p>
        </w:tc>
        <w:tc>
          <w:tcPr>
            <w:tcW w:type="dxa" w:w="6626"/>
            <w:gridSpan w:val="3"/>
            <w:tcBorders>
              <w:top w:val="single" w:color="CCD3E0" w:sz="4"/>
              <w:left w:val="single" w:color="CCD3E0" w:sz="4"/>
              <w:bottom w:val="single" w:color="CCD3E0" w:sz="4"/>
              <w:right w:val="single" w:color="CCD3E0" w:sz="4"/>
            </w:tcBorders>
            <w:tcMar>
              <w:top w:type="dxa" w:w="60"/>
              <w:left w:type="dxa" w:w="90"/>
              <w:bottom w:type="dxa" w:w="60"/>
              <w:right w:type="dxa" w:w="90"/>
            </w:tcMar>
            <w:vAlign w:val="top"/>
          </w:tcPr>
          <w:p>
            <w:r>
              <w:rPr>
                <w:sz w:val="18"/>
                <w:szCs w:val="18"/>
              </w:rPr>
              <w:t>• Reviewed the flow diagram and current repository architecture; clarified Qdrant’s role.</w:t>
            </w:r>
          </w:p>
          <w:p>
            <w:pPr>
              <w:spacing w:after="0"/>
            </w:pPr>
            <w:r>
              <w:rPr>
                <w:sz w:val="18"/>
                <w:szCs w:val="18"/>
              </w:rPr>
              <w:t>• Identified the need to state the disease scope, evidence-verification approach, and roles of CTD, JECFA, and Qdrant in the TÜBİTAK report.</w:t>
            </w:r>
          </w:p>
        </w:tc>
      </w:tr>
      <w:tr>
        <w:trPr>
          <w:cantSplit/>
          <w:trHeight w:val="1880" w:hRule="atLeast"/>
        </w:trPr>
        <w:tc>
          <w:tcPr>
            <w:tcW w:type="dxa" w:w="2400"/>
            <w:tcBorders>
              <w:top w:val="single" w:color="CCD3E0" w:sz="4"/>
              <w:left w:val="single" w:color="CCD3E0" w:sz="4"/>
              <w:bottom w:val="single" w:color="CCD3E0" w:sz="4"/>
              <w:right w:val="single" w:color="CCD3E0" w:sz="4"/>
            </w:tcBorders>
            <w:shd w:fill="F7F9FC" w:color="auto" w:val="clear"/>
            <w:tcMar>
              <w:top w:type="dxa" w:w="60"/>
              <w:left w:type="dxa" w:w="90"/>
              <w:bottom w:type="dxa" w:w="60"/>
              <w:right w:type="dxa" w:w="90"/>
            </w:tcMar>
            <w:vAlign w:val="top"/>
          </w:tcPr>
          <w:p>
            <w:r>
              <w:rPr>
                <w:b/>
                <w:bCs/>
                <w:sz w:val="18"/>
                <w:szCs w:val="18"/>
              </w:rPr>
              <w:t xml:space="preserve">Issues, risks, and blockers discussed</w:t>
            </w:r>
          </w:p>
        </w:tc>
        <w:tc>
          <w:tcPr>
            <w:tcW w:type="dxa" w:w="6626"/>
            <w:gridSpan w:val="3"/>
            <w:tcBorders>
              <w:top w:val="single" w:color="CCD3E0" w:sz="4"/>
              <w:left w:val="single" w:color="CCD3E0" w:sz="4"/>
              <w:bottom w:val="single" w:color="CCD3E0" w:sz="4"/>
              <w:right w:val="single" w:color="CCD3E0" w:sz="4"/>
            </w:tcBorders>
            <w:tcMar>
              <w:top w:type="dxa" w:w="60"/>
              <w:left w:type="dxa" w:w="90"/>
              <w:bottom w:type="dxa" w:w="60"/>
              <w:right w:type="dxa" w:w="90"/>
            </w:tcMar>
            <w:vAlign w:val="top"/>
          </w:tcPr>
          <w:p>
            <w:r>
              <w:rPr>
                <w:sz w:val="18"/>
                <w:szCs w:val="18"/>
              </w:rPr>
              <w:t>• Candidate matches for Turkish synonyms and food terms absent from the OFF taxonomy will be identified through vector search in Qdrant; the validation step needs to be clarified in the design.</w:t>
            </w:r>
          </w:p>
          <w:p>
            <w:pPr>
              <w:spacing w:after="0"/>
            </w:pPr>
            <w:r>
              <w:rPr>
                <w:sz w:val="18"/>
                <w:szCs w:val="18"/>
              </w:rPr>
              <w:t>• The rule table’s source of truth and approval workflow need to be clarified between the file-based prototype and the target PostgreSQL architecture.</w:t>
            </w:r>
          </w:p>
        </w:tc>
      </w:tr>
      <w:tr>
        <w:trPr>
          <w:cantSplit/>
          <w:trHeight w:val="2140" w:hRule="atLeast"/>
        </w:trPr>
        <w:tc>
          <w:tcPr>
            <w:tcW w:type="dxa" w:w="2400"/>
            <w:tcBorders>
              <w:top w:val="single" w:color="CCD3E0" w:sz="4"/>
              <w:left w:val="single" w:color="CCD3E0" w:sz="4"/>
              <w:bottom w:val="single" w:color="CCD3E0" w:sz="4"/>
              <w:right w:val="single" w:color="CCD3E0" w:sz="4"/>
            </w:tcBorders>
            <w:shd w:fill="F7F9FC" w:color="auto" w:val="clear"/>
            <w:tcMar>
              <w:top w:type="dxa" w:w="60"/>
              <w:left w:type="dxa" w:w="90"/>
              <w:bottom w:type="dxa" w:w="60"/>
              <w:right w:type="dxa" w:w="90"/>
            </w:tcMar>
            <w:vAlign w:val="top"/>
          </w:tcPr>
          <w:p>
            <w:r>
              <w:rPr>
                <w:b/>
                <w:bCs/>
                <w:sz w:val="18"/>
                <w:szCs w:val="18"/>
              </w:rPr>
              <w:t xml:space="preserve">Decisions and action items (with owner and due date)</w:t>
            </w:r>
          </w:p>
        </w:tc>
        <w:tc>
          <w:tcPr>
            <w:tcW w:type="dxa" w:w="6626"/>
            <w:gridSpan w:val="3"/>
            <w:tcBorders>
              <w:top w:val="single" w:color="CCD3E0" w:sz="4"/>
              <w:left w:val="single" w:color="CCD3E0" w:sz="4"/>
              <w:bottom w:val="single" w:color="CCD3E0" w:sz="4"/>
              <w:right w:val="single" w:color="CCD3E0" w:sz="4"/>
            </w:tcBorders>
            <w:tcMar>
              <w:top w:type="dxa" w:w="60"/>
              <w:left w:type="dxa" w:w="90"/>
              <w:bottom w:type="dxa" w:w="60"/>
              <w:right w:type="dxa" w:w="90"/>
            </w:tcMar>
            <w:vAlign w:val="top"/>
          </w:tcPr>
          <w:p>
            <w:r>
              <w:rPr>
                <w:sz w:val="18"/>
                <w:szCs w:val="18"/>
              </w:rPr>
              <w:t>• Terms absent from OFF will be embedded and converted into vectors; candidate matches will be identified through vector search.</w:t>
            </w:r>
          </w:p>
          <w:p>
            <w:pPr>
              <w:spacing w:after="0"/>
            </w:pPr>
            <w:r>
              <w:rPr>
                <w:sz w:val="18"/>
                <w:szCs w:val="18"/>
              </w:rPr>
              <w:t>• Source-linked rule records will be prepared for each health condition. LLMs and tools may support research and drafting, but unverified rules will not be activated.</w:t>
            </w:r>
          </w:p>
          <w:p>
            <w:pPr>
              <w:spacing w:after="0"/>
            </w:pPr>
            <w:r>
              <w:rPr>
                <w:sz w:val="18"/>
                <w:szCs w:val="18"/>
              </w:rPr>
              <w:t>• Qdrant, CTD, JECFA, and the LLM will not independently determine the health-condition outcome; the result will be generated only from the reviewed rule table.</w:t>
            </w:r>
          </w:p>
        </w:tc>
      </w:tr>
      <w:tr>
        <w:trPr>
          <w:cantSplit/>
          <w:trHeight w:val="1580" w:hRule="atLeast"/>
        </w:trPr>
        <w:tc>
          <w:tcPr>
            <w:tcW w:type="dxa" w:w="2400"/>
            <w:tcBorders>
              <w:top w:val="single" w:color="CCD3E0" w:sz="4"/>
              <w:left w:val="single" w:color="CCD3E0" w:sz="4"/>
              <w:bottom w:val="single" w:color="CCD3E0" w:sz="4"/>
              <w:right w:val="single" w:color="CCD3E0" w:sz="4"/>
            </w:tcBorders>
            <w:shd w:fill="F7F9FC" w:color="auto" w:val="clear"/>
            <w:tcMar>
              <w:top w:type="dxa" w:w="60"/>
              <w:left w:type="dxa" w:w="90"/>
              <w:bottom w:type="dxa" w:w="60"/>
              <w:right w:type="dxa" w:w="90"/>
            </w:tcMar>
            <w:vAlign w:val="top"/>
          </w:tcPr>
          <w:p>
            <w:r>
              <w:rPr>
                <w:b/>
                <w:bCs/>
                <w:sz w:val="18"/>
                <w:szCs w:val="18"/>
              </w:rPr>
              <w:t xml:space="preserve">Plan until the next meeting</w:t>
            </w:r>
          </w:p>
        </w:tc>
        <w:tc>
          <w:tcPr>
            <w:tcW w:type="dxa" w:w="6626"/>
            <w:gridSpan w:val="3"/>
            <w:tcBorders>
              <w:top w:val="single" w:color="CCD3E0" w:sz="4"/>
              <w:left w:val="single" w:color="CCD3E0" w:sz="4"/>
              <w:bottom w:val="single" w:color="CCD3E0" w:sz="4"/>
              <w:right w:val="single" w:color="CCD3E0" w:sz="4"/>
            </w:tcBorders>
            <w:tcMar>
              <w:top w:type="dxa" w:w="60"/>
              <w:left w:type="dxa" w:w="90"/>
              <w:bottom w:type="dxa" w:w="60"/>
              <w:right w:type="dxa" w:w="90"/>
            </w:tcMar>
            <w:vAlign w:val="top"/>
          </w:tcPr>
          <w:p>
            <w:r>
              <w:rPr>
                <w:sz w:val="18"/>
                <w:szCs w:val="18"/>
              </w:rPr>
              <w:t>• Document the scope, verification criteria, and role of each data source in the architecture in the TÜBİTAK report, with source links.</w:t>
            </w:r>
          </w:p>
          <w:p>
            <w:pPr>
              <w:spacing w:after="0"/>
            </w:pPr>
            <w:r>
              <w:rPr>
                <w:sz w:val="18"/>
                <w:szCs w:val="18"/>
              </w:rPr>
              <w:t>• Next week, clarify the list of health conditions and the rule-record schema, then begin preparing a source-based health-condition–food rule table.</w:t>
            </w:r>
          </w:p>
          <w:p>
            <w:pPr>
              <w:spacing w:after="0"/>
            </w:pPr>
            <w:r>
              <w:rPr>
                <w:sz w:val="18"/>
                <w:szCs w:val="18"/>
              </w:rPr>
              <w:t>• Decide how Qdrant match candidates will be linked to canonical concepts, how uncertain matches will be handled, and how rule records will be stored and approved.</w:t>
            </w:r>
          </w:p>
        </w:tc>
      </w:tr>
      <w:tr>
        <w:trPr>
          <w:cantSplit/>
          <w:trHeight w:val="400" w:hRule="atLeast"/>
        </w:trPr>
        <w:tc>
          <w:tcPr>
            <w:tcW w:type="dxa" w:w="2400"/>
            <w:tcBorders>
              <w:top w:val="single" w:color="CCD3E0" w:sz="4"/>
              <w:left w:val="single" w:color="CCD3E0" w:sz="4"/>
              <w:bottom w:val="single" w:color="CCD3E0" w:sz="4"/>
              <w:right w:val="single" w:color="CCD3E0" w:sz="4"/>
            </w:tcBorders>
            <w:shd w:fill="F7F9FC" w:color="auto" w:val="clear"/>
            <w:tcMar>
              <w:top w:type="dxa" w:w="60"/>
              <w:left w:type="dxa" w:w="90"/>
              <w:bottom w:type="dxa" w:w="60"/>
              <w:right w:type="dxa" w:w="90"/>
            </w:tcMar>
            <w:vAlign w:val="top"/>
          </w:tcPr>
          <w:p>
            <w:r>
              <w:rPr>
                <w:b/>
                <w:bCs/>
                <w:sz w:val="18"/>
                <w:szCs w:val="18"/>
              </w:rPr>
              <w:t xml:space="preserve">Date of the next meeting</w:t>
            </w:r>
          </w:p>
        </w:tc>
        <w:tc>
          <w:tcPr>
            <w:tcW w:type="dxa" w:w="6626"/>
            <w:gridSpan w:val="3"/>
            <w:tcBorders>
              <w:top w:val="single" w:color="CCD3E0" w:sz="4"/>
              <w:left w:val="single" w:color="CCD3E0" w:sz="4"/>
              <w:bottom w:val="single" w:color="CCD3E0" w:sz="4"/>
              <w:right w:val="single" w:color="CCD3E0" w:sz="4"/>
            </w:tcBorders>
            <w:tcMar>
              <w:top w:type="dxa" w:w="60"/>
              <w:left w:type="dxa" w:w="90"/>
              <w:bottom w:type="dxa" w:w="60"/>
              <w:right w:type="dxa" w:w="90"/>
            </w:tcMar>
            <w:vAlign w:val="top"/>
          </w:tcPr>
          <w:p>
            <w:r>
              <w:rPr>
                <w:sz w:val="18"/>
                <w:szCs w:val="18"/>
              </w:rPr>
              <w:t>30 October 2026 (Friday)</w:t>
            </w:r>
          </w:p>
        </w:tc>
      </w:tr>
      <w:tr>
        <w:trPr>
          <w:cantSplit/>
          <w:trHeight w:val="400" w:hRule="atLeast"/>
        </w:trPr>
        <w:tc>
          <w:tcPr>
            <w:tcW w:type="dxa" w:w="2400"/>
            <w:tcBorders>
              <w:top w:val="single" w:color="CCD3E0" w:sz="4"/>
              <w:left w:val="single" w:color="CCD3E0" w:sz="4"/>
              <w:bottom w:val="single" w:color="CCD3E0" w:sz="4"/>
              <w:right w:val="single" w:color="CCD3E0" w:sz="4"/>
            </w:tcBorders>
            <w:shd w:fill="F7F9FC" w:color="auto" w:val="clear"/>
            <w:tcMar>
              <w:top w:type="dxa" w:w="60"/>
              <w:left w:type="dxa" w:w="90"/>
              <w:bottom w:type="dxa" w:w="60"/>
              <w:right w:type="dxa" w:w="90"/>
            </w:tcMar>
            <w:vAlign w:val="top"/>
          </w:tcPr>
          <w:p>
            <w:r>
              <w:rPr>
                <w:b/>
                <w:bCs/>
                <w:sz w:val="18"/>
                <w:szCs w:val="18"/>
              </w:rPr>
              <w:t xml:space="preserve">Supervisor's assessment</w:t>
            </w:r>
          </w:p>
        </w:tc>
        <w:tc>
          <w:tcPr>
            <w:tcW w:type="dxa" w:w="6626"/>
            <w:gridSpan w:val="3"/>
            <w:tcBorders>
              <w:top w:val="single" w:color="CCD3E0" w:sz="4"/>
              <w:left w:val="single" w:color="CCD3E0" w:sz="4"/>
              <w:bottom w:val="single" w:color="CCD3E0" w:sz="4"/>
              <w:right w:val="single" w:color="CCD3E0" w:sz="4"/>
            </w:tcBorders>
            <w:tcMar>
              <w:top w:type="dxa" w:w="60"/>
              <w:left w:type="dxa" w:w="90"/>
              <w:bottom w:type="dxa" w:w="60"/>
              <w:right w:type="dxa" w:w="90"/>
            </w:tcMar>
            <w:vAlign w:val="top"/>
          </w:tcPr>
          <w:p>
            <w:r>
              <w:rPr>
                <w:sz w:val="18"/>
                <w:szCs w:val="18"/>
              </w:rPr>
              <w:t xml:space="preserve">Insufficient  ☐      Adequate  ☐      Good  ☐      Very good  ☐</w:t>
            </w:r>
          </w:p>
        </w:tc>
      </w:tr>
      <w:tr>
        <w:trPr>
          <w:cantSplit/>
          <w:trHeight w:val="900" w:hRule="atLeast"/>
        </w:trPr>
        <w:tc>
          <w:tcPr>
            <w:tcW w:type="dxa" w:w="2400"/>
            <w:tcBorders>
              <w:top w:val="single" w:color="CCD3E0" w:sz="4"/>
              <w:left w:val="single" w:color="CCD3E0" w:sz="4"/>
              <w:bottom w:val="single" w:color="CCD3E0" w:sz="4"/>
              <w:right w:val="single" w:color="CCD3E0" w:sz="4"/>
            </w:tcBorders>
            <w:shd w:fill="F7F9FC" w:color="auto" w:val="clear"/>
            <w:tcMar>
              <w:top w:type="dxa" w:w="60"/>
              <w:left w:type="dxa" w:w="90"/>
              <w:bottom w:type="dxa" w:w="60"/>
              <w:right w:type="dxa" w:w="90"/>
            </w:tcMar>
            <w:vAlign w:val="top"/>
          </w:tcPr>
          <w:p>
            <w:r>
              <w:rPr>
                <w:b/>
                <w:bCs/>
                <w:sz w:val="18"/>
                <w:szCs w:val="18"/>
              </w:rPr>
              <w:t xml:space="preserve">Supervisor's signature</w:t>
            </w:r>
          </w:p>
        </w:tc>
        <w:tc>
          <w:tcPr>
            <w:tcW w:type="dxa" w:w="6626"/>
            <w:gridSpan w:val="3"/>
            <w:tcBorders>
              <w:top w:val="single" w:color="CCD3E0" w:sz="4"/>
              <w:left w:val="single" w:color="CCD3E0" w:sz="4"/>
              <w:bottom w:val="single" w:color="CCD3E0" w:sz="4"/>
              <w:right w:val="single" w:color="CCD3E0" w:sz="4"/>
            </w:tcBorders>
            <w:tcMar>
              <w:top w:type="dxa" w:w="60"/>
              <w:left w:type="dxa" w:w="90"/>
              <w:bottom w:type="dxa" w:w="60"/>
              <w:right w:type="dxa" w:w="90"/>
            </w:tcMar>
            <w:vAlign w:val="top"/>
          </w:tcPr>
          <w:p>
            <w:r>
              <w:rPr>
                <w:sz w:val="18"/>
                <w:szCs w:val="18"/>
              </w:rPr>
              <w:t xml:space="preserve"/>
            </w:r>
          </w:p>
        </w:tc>
      </w:tr>
    </w:tbl>
    <w:sectPr>
      <w:pgSz w:w="11906" w:h="16838" w:orient="portrait"/>
      <w:pgMar w:top="90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after="1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0413A3D3B678B4C9E9BCD27E13B6E95" ma:contentTypeVersion="4" ma:contentTypeDescription="Create a new document." ma:contentTypeScope="" ma:versionID="eb6f85115263e90c951953015e90db9a">
  <xsd:schema xmlns:xsd="http://www.w3.org/2001/XMLSchema" xmlns:xs="http://www.w3.org/2001/XMLSchema" xmlns:p="http://schemas.microsoft.com/office/2006/metadata/properties" xmlns:ns2="e71b8c4e-16e0-465b-9ac2-4da7f653bf17" targetNamespace="http://schemas.microsoft.com/office/2006/metadata/properties" ma:root="true" ma:fieldsID="23059001e70722d3fbb66419b8348a6b" ns2:_="">
    <xsd:import namespace="e71b8c4e-16e0-465b-9ac2-4da7f653bf1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1b8c4e-16e0-465b-9ac2-4da7f653bf1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e71b8c4e-16e0-465b-9ac2-4da7f653bf17" xsi:nil="true"/>
  </documentManagement>
</p:properties>
</file>

<file path=customXml/itemProps1.xml><?xml version="1.0" encoding="utf-8"?>
<ds:datastoreItem xmlns:ds="http://schemas.openxmlformats.org/officeDocument/2006/customXml" ds:itemID="{EAAEC28A-C911-4B62-945D-799B120AF16E}"/>
</file>

<file path=customXml/itemProps2.xml><?xml version="1.0" encoding="utf-8"?>
<ds:datastoreItem xmlns:ds="http://schemas.openxmlformats.org/officeDocument/2006/customXml" ds:itemID="{93D6DC7E-16CF-40EB-BF63-88F8202D565E}"/>
</file>

<file path=customXml/itemProps3.xml><?xml version="1.0" encoding="utf-8"?>
<ds:datastoreItem xmlns:ds="http://schemas.openxmlformats.org/officeDocument/2006/customXml" ds:itemID="{CAB6C95C-A8D4-45D3-A8E5-16A99283659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2026-09-17T18:25:11Z</dcterms:created>
  <dcterms:modified xsi:type="dcterms:W3CDTF">2026-09-17T18:25:11Z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0x01010070413A3D3B678B4C9E9BCD27E13B6E95</vt:lpwstr>
  </property>
</Properties>
</file>