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5F6C80"/>
          <w:sz w:val="15"/>
        </w:rPr>
        <w:t>AKDENIZ UNIVERSITY  ·  FACULTY OF ENGINEERING  ·  DEPARTMENT OF COMPUTER ENGINEERING</w:t>
      </w:r>
    </w:p>
    <w:p>
      <w:pPr>
        <w:spacing w:after="40"/>
      </w:pPr>
      <w:r>
        <w:rPr>
          <w:b/>
          <w:color w:val="223F77"/>
          <w:sz w:val="34"/>
        </w:rPr>
        <w:t>CSE 491 — Supervisor Meeting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E2"/>
          <w:left w:val="single" w:sz="4" w:color="C8D2E2"/>
          <w:bottom w:val="single" w:sz="4" w:color="C8D2E2"/>
          <w:right w:val="single" w:sz="4" w:color="C8D2E2"/>
          <w:insideH w:val="single" w:sz="4" w:color="C8D2E2"/>
          <w:insideV w:val="single" w:sz="4" w:color="C8D2E2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5"/>
              </w:rPr>
              <w:t>Project title</w:t>
            </w:r>
          </w:p>
        </w:tc>
        <w:tc>
          <w:tcPr>
            <w:tcW w:type="dxa" w:w="3485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NutriScan: Evidence-based food ingredient and health-condition matching</w:t>
            </w:r>
          </w:p>
        </w:tc>
        <w:tc>
          <w:tcPr>
            <w:tcW w:type="dxa" w:w="151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5"/>
              </w:rPr>
              <w:t>Meeting no.</w:t>
            </w:r>
          </w:p>
        </w:tc>
        <w:tc>
          <w:tcPr>
            <w:tcW w:type="dxa" w:w="352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6"/>
              </w:rPr>
              <w:t>Group members (name, no.)</w:t>
            </w:r>
          </w:p>
        </w:tc>
        <w:tc>
          <w:tcPr>
            <w:tcW w:type="dxa" w:w="3485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Levent Can Ceylan (20220808045); Şükran Hilal Hocaoğlu (20210808005); Ozan Karadaş (20220808007)</w:t>
            </w:r>
          </w:p>
        </w:tc>
        <w:tc>
          <w:tcPr>
            <w:tcW w:type="dxa" w:w="151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6"/>
              </w:rPr>
              <w:t>Project supervisor</w:t>
            </w:r>
          </w:p>
        </w:tc>
        <w:tc>
          <w:tcPr>
            <w:tcW w:type="dxa" w:w="352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Aptos" w:hAnsi="Aptos"/>
                <w:sz w:val="16"/>
              </w:rPr>
              <w:t>Res. Asst. Dr. Taha Yiğit Alkan</w:t>
            </w:r>
          </w:p>
        </w:tc>
      </w:tr>
      <w:t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6"/>
              </w:rPr>
              <w:t>Date / duration</w:t>
            </w:r>
          </w:p>
        </w:tc>
        <w:tc>
          <w:tcPr>
            <w:tcW w:type="dxa" w:w="3485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02.10.2026 / [DURATION] min</w:t>
            </w:r>
          </w:p>
        </w:tc>
        <w:tc>
          <w:tcPr>
            <w:tcW w:type="dxa" w:w="151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6"/>
              </w:rPr>
              <w:t>Attendees</w:t>
            </w:r>
          </w:p>
        </w:tc>
        <w:tc>
          <w:tcPr>
            <w:tcW w:type="dxa" w:w="352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Levent Can Ceylan; Şükran Hilal Hocaoğlu; Ozan Karadaş</w:t>
            </w:r>
          </w:p>
        </w:tc>
      </w:tr>
      <w:t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5"/>
              </w:rPr>
              <w:t>Next meeting date</w:t>
            </w:r>
          </w:p>
        </w:tc>
        <w:tc>
          <w:tcPr>
            <w:tcW w:type="dxa" w:w="3485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09.10.2026</w:t>
            </w:r>
          </w:p>
        </w:tc>
        <w:tc>
          <w:tcPr>
            <w:tcW w:type="dxa" w:w="151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5"/>
              </w:rPr>
              <w:t>Supervisor’s assessment</w:t>
            </w:r>
          </w:p>
        </w:tc>
        <w:tc>
          <w:tcPr>
            <w:tcW w:type="dxa" w:w="352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☐ Insufficient   ☐ Adequate   ☐ Good   ☐ Very good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E2"/>
          <w:left w:val="single" w:sz="4" w:color="C8D2E2"/>
          <w:bottom w:val="single" w:sz="4" w:color="C8D2E2"/>
          <w:right w:val="single" w:sz="4" w:color="C8D2E2"/>
          <w:insideH w:val="single" w:sz="4" w:color="C8D2E2"/>
          <w:insideV w:val="single" w:sz="4" w:color="C8D2E2"/>
        </w:tblBorders>
      </w:tblPr>
      <w:tblGrid>
        <w:gridCol w:w="5371"/>
        <w:gridCol w:w="5371"/>
      </w:tblGrid>
      <w:tr>
        <w:tc>
          <w:tcPr>
            <w:tcW w:type="dxa" w:w="256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6"/>
              </w:rPr>
              <w:t>Work completed since the last meeting</w:t>
            </w:r>
          </w:p>
        </w:tc>
        <w:tc>
          <w:tcPr>
            <w:tcW w:type="dxa" w:w="790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• Presented the initial concept (a household meal and shopping planning assistant with per-member allergen and health checks), an interactive prototype and the team's working setup (repository, task board, backend skeleton).</w:t>
              <w:br/>
              <w:t>• Presented a literature-based approach to health condition–ingredient matching and candidate data sources: FooDB (food compounds), JECFA (additive names and safety evaluations) and CTD (chemical–disease evidence); SapBERT for terminology matching and Qdrant for vector search.</w:t>
            </w:r>
          </w:p>
        </w:tc>
      </w:tr>
      <w:tr>
        <w:tc>
          <w:tcPr>
            <w:tcW w:type="dxa" w:w="256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6"/>
              </w:rPr>
              <w:t>Issues, risks and blockers discussed</w:t>
            </w:r>
          </w:p>
        </w:tc>
        <w:tc>
          <w:tcPr>
            <w:tcW w:type="dxa" w:w="790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• Disease–ingredient relationships need evidence-backed sources and a clear evidence strength; the presence of an ingredient alone does not establish a personal, dose-related risk.</w:t>
              <w:br/>
              <w:t>• Source coverage, identifiers, Turkish synonyms, units and conflicting or indirect evidence may differ between sources. Clinical thresholds and user-facing claims stay unconfirmed until their source and applicability are checked.</w:t>
              <w:br/>
              <w:t>• OCR quality on Turkish packaging (fonts, curved surfaces, E-number formats) and mapping label terms to standard ingredient names.</w:t>
            </w:r>
          </w:p>
        </w:tc>
      </w:tr>
      <w:tr>
        <w:tc>
          <w:tcPr>
            <w:tcW w:type="dxa" w:w="256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6"/>
              </w:rPr>
              <w:t>Decisions and action items (with owner and due date)</w:t>
            </w:r>
          </w:p>
        </w:tc>
        <w:tc>
          <w:tcPr>
            <w:tcW w:type="dxa" w:w="790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• Supervisor feedback: the planning-assistant scope is not distinct enough and would reduce to scanning a product and seeing a result. The project is re-scoped.</w:t>
              <w:br/>
              <w:t>• New core: evidence-based matching between health conditions and food ingredients, and communicating the result to users correctly and with its uncertainty.</w:t>
              <w:br/>
              <w:t>• Barcode scanning is dropped. The ingredient list on the package is read with OCR and matched against condition–ingredient evidence to conclude whether the product is suitable for the user.</w:t>
              <w:br/>
              <w:t>• The project must be defensible with literature and show a novel approach that does not exist in current products.</w:t>
              <w:br/>
              <w:t>• Action items for the next meeting (due 09.10.2026): see the plan below.</w:t>
            </w:r>
          </w:p>
        </w:tc>
      </w:tr>
      <w:tr>
        <w:tc>
          <w:tcPr>
            <w:tcW w:type="dxa" w:w="256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EF2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3385B"/>
                <w:sz w:val="16"/>
              </w:rPr>
              <w:t>Plan until the next meeting</w:t>
            </w:r>
          </w:p>
        </w:tc>
        <w:tc>
          <w:tcPr>
            <w:tcW w:type="dxa" w:w="790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• Competitor analysis: the five closest products/studies; verify that none performs health condition–ingredient matching as proposed (Levent).</w:t>
              <w:br/>
              <w:t>• Condition list and literature basis from the referenced sources (Ozan).</w:t>
              <w:br/>
              <w:t>• Excel dataset with linked sheets for conditions, ingredients/compounds and evidence-based condition–ingredient relationships: Turkish and scientific names, source identifiers, product-label aliases, evidence type, citation/URL, access date, curation status (Hilal: evidence and source verification; Levent: workbook integration).</w:t>
              <w:br/>
              <w:t>• Turkish translation of the collected terms and labels; uncertain or unsupported links flagged for supervisor review.</w:t>
              <w:br/>
              <w:t>• Revised project definition (problem, approach, literature basis, scope) for supervisor review.</w:t>
              <w:br/>
              <w:t>• No clinical risk levels or dose thresholds are assigned without a verified source.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E2"/>
          <w:left w:val="single" w:sz="4" w:color="C8D2E2"/>
          <w:bottom w:val="single" w:sz="4" w:color="C8D2E2"/>
          <w:right w:val="single" w:sz="4" w:color="C8D2E2"/>
          <w:insideH w:val="single" w:sz="4" w:color="C8D2E2"/>
          <w:insideV w:val="single" w:sz="4" w:color="C8D2E2"/>
        </w:tblBorders>
      </w:tblPr>
      <w:tblGrid>
        <w:gridCol w:w="5184"/>
        <w:gridCol w:w="5285"/>
      </w:tblGrid>
      <w:tr>
        <w:tc>
          <w:tcPr>
            <w:tcW w:type="dxa" w:w="5371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6"/>
              </w:rPr>
              <w:t>Supervisor’s signature</w:t>
              <w:br/>
              <w:br/>
              <w:t>________________________________________</w:t>
            </w:r>
          </w:p>
        </w:tc>
        <w:tc>
          <w:tcPr>
            <w:tcW w:type="dxa" w:w="5371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6"/>
              </w:rPr>
              <w:t>Date signed: ____________</w:t>
            </w:r>
          </w:p>
        </w:tc>
      </w:tr>
    </w:tbl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5" w:lineRule="auto"/>
    </w:pPr>
    <w:rPr>
      <w:rFonts w:ascii="Aptos" w:hAnsi="Aptos"/>
      <w:color w:val="232D3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NutriScan CSE 491 Supervisor Meeting Form Draft</dc:title>
  <dc:subject>Editable meeting form draft based on the provided project materials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