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200"/>
        <w:jc w:val="center"/>
      </w:pPr>
      <w:r>
        <w:rPr>
          <w:sz w:val="72"/>
          <w:szCs w:val="72"/>
        </w:rPr>
        <w:t xml:space="preserve">❤️</w:t>
      </w:r>
    </w:p>
    <w:p>
      <w:pPr>
        <w:spacing w:after="100"/>
        <w:jc w:val="center"/>
      </w:pPr>
      <w:r>
        <w:rPr>
          <w:b/>
          <w:bCs/>
          <w:color w:val="8B6FBD"/>
          <w:sz w:val="96"/>
          <w:szCs w:val="96"/>
        </w:rPr>
        <w:t xml:space="preserve">ViVaCoeur IA</w:t>
      </w:r>
    </w:p>
    <w:p>
      <w:pPr>
        <w:spacing w:after="300"/>
        <w:jc w:val="center"/>
      </w:pPr>
      <w:r>
        <w:rPr>
          <w:b/>
          <w:bCs/>
          <w:color w:val="FFD700"/>
          <w:sz w:val="32"/>
          <w:szCs w:val="32"/>
        </w:rPr>
        <w:t xml:space="preserve">Meta-Agent Ultra-Puissant</w:t>
      </w:r>
    </w:p>
    <w:p>
      <w:pPr>
        <w:spacing w:after="500"/>
        <w:jc w:val="center"/>
      </w:pPr>
      <w:r>
        <w:rPr>
          <w:sz w:val="28"/>
          <w:szCs w:val="28"/>
        </w:rPr>
        <w:t xml:space="preserve">Guide Complet de Formation</w:t>
      </w:r>
    </w:p>
    <w:p>
      <w:pPr>
        <w:spacing w:after="400"/>
        <w:jc w:val="center"/>
      </w:pPr>
      <w:r>
        <w:rPr>
          <w:sz w:val="24"/>
          <w:szCs w:val="24"/>
        </w:rPr>
        <w:t xml:space="preserve">Pour l'Entrepreneurship &amp; Formations Spécialisées</w:t>
      </w:r>
    </w:p>
    <w:p>
      <w:pPr>
        <w:spacing w:after="300"/>
      </w:pPr>
    </w:p>
    <w:p>
      <w:pPr>
        <w:spacing w:after="60"/>
        <w:jc w:val="center"/>
      </w:pPr>
      <w:r>
        <w:rPr>
          <w:b/>
          <w:bCs/>
          <w:sz w:val="22"/>
          <w:szCs w:val="22"/>
        </w:rPr>
        <w:t xml:space="preserve">Denise Lévesque | ViVaCoeur</w:t>
      </w:r>
    </w:p>
    <w:p>
      <w:pPr>
        <w:spacing w:after="200"/>
        <w:jc w:val="center"/>
      </w:pPr>
      <w:r>
        <w:rPr>
          <w:sz w:val="20"/>
          <w:szCs w:val="20"/>
        </w:rPr>
        <w:t xml:space="preserve">Grand-Sault, Nouveau-Brunswick &amp; Québec</w:t>
      </w:r>
    </w:p>
    <w:p>
      <w:pPr>
        <w:spacing w:after="300"/>
        <w:jc w:val="center"/>
      </w:pPr>
      <w:r>
        <w:rPr>
          <w:sz w:val="20"/>
          <w:szCs w:val="20"/>
        </w:rPr>
        <w:t xml:space="preserve">2026</w:t>
      </w:r>
    </w:p>
    <w:p>
      <w:pPr>
        <w:pageBreakBefore/>
      </w:pPr>
    </w:p>
    <w:p>
      <w:pPr>
        <w:pStyle w:val="Heading1"/>
        <w:spacing w:after="200"/>
      </w:pPr>
      <w:r>
        <w:t xml:space="preserve">TABLE DES MATIÈRES</w:t>
      </w:r>
    </w:p>
    <w:p>
      <w:pPr>
        <w:spacing w:after="100"/>
      </w:pPr>
      <w:r>
        <w:t xml:space="preserve">1. Introduction à ViVaCoeur IA</w:t>
      </w:r>
    </w:p>
    <w:p>
      <w:pPr>
        <w:spacing w:after="100"/>
      </w:pPr>
      <w:r>
        <w:t xml:space="preserve">2. Architecture Ultra-Puissante</w:t>
      </w:r>
    </w:p>
    <w:p>
      <w:pPr>
        <w:spacing w:after="100"/>
      </w:pPr>
      <w:r>
        <w:t xml:space="preserve">3. Fonctionnalités Principales</w:t>
      </w:r>
    </w:p>
    <w:p>
      <w:pPr>
        <w:spacing w:after="100"/>
      </w:pPr>
      <w:r>
        <w:t xml:space="preserve">4. Processus de Création d'Agents</w:t>
      </w:r>
    </w:p>
    <w:p>
      <w:pPr>
        <w:spacing w:after="100"/>
      </w:pPr>
      <w:r>
        <w:t xml:space="preserve">5. Intégration Multi-Plateformes</w:t>
      </w:r>
    </w:p>
    <w:p>
      <w:pPr>
        <w:spacing w:after="100"/>
      </w:pPr>
      <w:r>
        <w:t xml:space="preserve">6. ViVaCoeur Forma Soins</w:t>
      </w:r>
    </w:p>
    <w:p>
      <w:pPr>
        <w:spacing w:after="100"/>
      </w:pPr>
      <w:r>
        <w:t xml:space="preserve">7. Guide d'Utilisation Étape par Étape</w:t>
      </w:r>
    </w:p>
    <w:p>
      <w:pPr>
        <w:spacing w:after="300"/>
      </w:pPr>
      <w:r>
        <w:t xml:space="preserve">8. FAQ &amp; Support</w:t>
      </w:r>
    </w:p>
    <w:p>
      <w:pPr>
        <w:pageBreakBefore/>
      </w:pPr>
    </w:p>
    <w:p>
      <w:pPr>
        <w:pStyle w:val="Heading1"/>
      </w:pPr>
      <w:r>
        <w:t xml:space="preserve">1. INTRODUCTION À VIVACOEUR IA</w:t>
      </w:r>
    </w:p>
    <w:p>
      <w:pPr>
        <w:spacing w:after="200"/>
      </w:pPr>
      <w:r>
        <w:t xml:space="preserve">ViVaCoeur IA est une plateforme révolutionnaire de création d'agents IA autonomes, conçue pour transformer l'entrepreneurship et les formations spécialisées. Basée sur l'architecture Claude API d'Anthropic, ViVaCoeur IA offre une solution ultra-puissante et polyglotte pour créer, tester et déployer des agents intelligents.</w:t>
      </w:r>
    </w:p>
    <w:p>
      <w:pPr>
        <w:pStyle w:val="Heading2"/>
      </w:pPr>
      <w:r>
        <w:t xml:space="preserve">Vision &amp; Mission</w:t>
      </w:r>
    </w:p>
    <w:p>
      <w:pPr>
        <w:spacing w:after="300"/>
      </w:pPr>
      <w:r>
        <w:t xml:space="preserve">Empowering Entrepreneurship Through AI • Créer une nouvelle génération d'entrepreneurs capables de maîtriser les outils IA pour transformer leurs idées en réalité.</w:t>
      </w:r>
    </w:p>
    <w:p>
      <w:pPr>
        <w:pStyle w:val="Heading2"/>
      </w:pPr>
      <w:r>
        <w:t xml:space="preserve">Caractéristiques Clés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8B6FBD" w:sz="1"/>
              <w:left w:val="single" w:color="8B6FBD" w:sz="1"/>
              <w:bottom w:val="single" w:color="8B6FBD" w:sz="1"/>
              <w:right w:val="single" w:color="8B6FBD" w:sz="1"/>
            </w:tcBorders>
            <w:shd w:fill="8B6FBD" w:val="clear"/>
            <w:tcMar>
              <w:top w:type="dxa" w:w="80"/>
              <w:left w:type="dxa" w:w="120"/>
              <w:bottom w:type="dxa" w:w="80"/>
              <w:right w:type="dxa" w:w="120"/>
            </w:tcMar>
          </w:tcPr>
          <w:p/>
        </w:tc>
        <w:tc>
          <w:tcPr>
            <w:tcBorders>
              <w:top w:val="single" w:color="8B6FBD" w:sz="1"/>
              <w:left w:val="single" w:color="8B6FBD" w:sz="1"/>
              <w:bottom w:val="single" w:color="8B6FBD" w:sz="1"/>
              <w:right w:val="single" w:color="8B6FBD" w:sz="1"/>
            </w:tcBorders>
            <w:shd w:fill="8B6FBD" w:val="clear"/>
            <w:tcMar>
              <w:top w:type="dxa" w:w="80"/>
              <w:left w:type="dxa" w:w="120"/>
              <w:bottom w:type="dxa" w:w="80"/>
              <w:right w:type="dxa" w:w="120"/>
            </w:tcMar>
          </w:tcPr>
          <w:p/>
        </w:tc>
      </w:tr>
      <w:tr>
        <w:tc>
          <w:tcPr>
            <w:tcBorders>
              <w:top w:val="single" w:color="8B6FBD" w:sz="1"/>
              <w:left w:val="single" w:color="8B6FBD" w:sz="1"/>
              <w:bottom w:val="single" w:color="8B6FBD" w:sz="1"/>
              <w:right w:val="single" w:color="8B6FBD" w:sz="1"/>
            </w:tcBorders>
            <w:tcMar>
              <w:top w:type="dxa" w:w="80"/>
              <w:left w:type="dxa" w:w="120"/>
              <w:bottom w:type="dxa" w:w="80"/>
              <w:right w:type="dxa" w:w="120"/>
            </w:tcMar>
          </w:tcPr>
          <w:p>
            <w:r>
              <w:t xml:space="preserve">🎤 Micro Français</w:t>
            </w:r>
          </w:p>
        </w:tc>
        <w:tc>
          <w:tcPr>
            <w:tcBorders>
              <w:top w:val="single" w:color="8B6FBD" w:sz="1"/>
              <w:left w:val="single" w:color="8B6FBD" w:sz="1"/>
              <w:bottom w:val="single" w:color="8B6FBD" w:sz="1"/>
              <w:right w:val="single" w:color="8B6FBD" w:sz="1"/>
            </w:tcBorders>
            <w:tcMar>
              <w:top w:type="dxa" w:w="80"/>
              <w:left w:type="dxa" w:w="120"/>
              <w:bottom w:type="dxa" w:w="80"/>
              <w:right w:type="dxa" w:w="120"/>
            </w:tcMar>
          </w:tcPr>
          <w:p>
            <w:r>
              <w:t xml:space="preserve">Transcription vocale en temps réel</w:t>
            </w:r>
          </w:p>
        </w:tc>
      </w:tr>
      <w:tr>
        <w:tc>
          <w:tcPr>
            <w:tcBorders>
              <w:top w:val="single" w:color="8B6FBD" w:sz="1"/>
              <w:left w:val="single" w:color="8B6FBD" w:sz="1"/>
              <w:bottom w:val="single" w:color="8B6FBD" w:sz="1"/>
              <w:right w:val="single" w:color="8B6FBD" w:sz="1"/>
            </w:tcBorders>
            <w:tcMar>
              <w:top w:type="dxa" w:w="80"/>
              <w:left w:type="dxa" w:w="120"/>
              <w:bottom w:type="dxa" w:w="80"/>
              <w:right w:type="dxa" w:w="120"/>
            </w:tcMar>
          </w:tcPr>
          <w:p>
            <w:r>
              <w:t xml:space="preserve">🌐 Traduction Universelle</w:t>
            </w:r>
          </w:p>
        </w:tc>
        <w:tc>
          <w:tcPr>
            <w:tcBorders>
              <w:top w:val="single" w:color="8B6FBD" w:sz="1"/>
              <w:left w:val="single" w:color="8B6FBD" w:sz="1"/>
              <w:bottom w:val="single" w:color="8B6FBD" w:sz="1"/>
              <w:right w:val="single" w:color="8B6FBD" w:sz="1"/>
            </w:tcBorders>
            <w:tcMar>
              <w:top w:type="dxa" w:w="80"/>
              <w:left w:type="dxa" w:w="120"/>
              <w:bottom w:type="dxa" w:w="80"/>
              <w:right w:type="dxa" w:w="120"/>
            </w:tcMar>
          </w:tcPr>
          <w:p>
            <w:r>
              <w:t xml:space="preserve">Support 10+ langues automatiquement</w:t>
            </w:r>
          </w:p>
        </w:tc>
      </w:tr>
      <w:tr>
        <w:tc>
          <w:tcPr>
            <w:tcBorders>
              <w:top w:val="single" w:color="8B6FBD" w:sz="1"/>
              <w:left w:val="single" w:color="8B6FBD" w:sz="1"/>
              <w:bottom w:val="single" w:color="8B6FBD" w:sz="1"/>
              <w:right w:val="single" w:color="8B6FBD" w:sz="1"/>
            </w:tcBorders>
            <w:tcMar>
              <w:top w:type="dxa" w:w="80"/>
              <w:left w:type="dxa" w:w="120"/>
              <w:bottom w:type="dxa" w:w="80"/>
              <w:right w:type="dxa" w:w="120"/>
            </w:tcMar>
          </w:tcPr>
          <w:p>
            <w:r>
              <w:t xml:space="preserve">🎺 Analyse Documents</w:t>
            </w:r>
          </w:p>
        </w:tc>
        <w:tc>
          <w:tcPr>
            <w:tcBorders>
              <w:top w:val="single" w:color="8B6FBD" w:sz="1"/>
              <w:left w:val="single" w:color="8B6FBD" w:sz="1"/>
              <w:bottom w:val="single" w:color="8B6FBD" w:sz="1"/>
              <w:right w:val="single" w:color="8B6FBD" w:sz="1"/>
            </w:tcBorders>
            <w:tcMar>
              <w:top w:type="dxa" w:w="80"/>
              <w:left w:type="dxa" w:w="120"/>
              <w:bottom w:type="dxa" w:w="80"/>
              <w:right w:type="dxa" w:w="120"/>
            </w:tcMar>
          </w:tcPr>
          <w:p>
            <w:r>
              <w:t xml:space="preserve">Word, Excel, PDF, PowerPoint</w:t>
            </w:r>
          </w:p>
        </w:tc>
      </w:tr>
      <w:tr>
        <w:tc>
          <w:tcPr>
            <w:tcBorders>
              <w:top w:val="single" w:color="8B6FBD" w:sz="1"/>
              <w:left w:val="single" w:color="8B6FBD" w:sz="1"/>
              <w:bottom w:val="single" w:color="8B6FBD" w:sz="1"/>
              <w:right w:val="single" w:color="8B6FBD" w:sz="1"/>
            </w:tcBorders>
            <w:tcMar>
              <w:top w:type="dxa" w:w="80"/>
              <w:left w:type="dxa" w:w="120"/>
              <w:bottom w:type="dxa" w:w="80"/>
              <w:right w:type="dxa" w:w="120"/>
            </w:tcMar>
          </w:tcPr>
          <w:p>
            <w:r>
              <w:t xml:space="preserve">🎤 Voix Clonée</w:t>
            </w:r>
          </w:p>
        </w:tc>
        <w:tc>
          <w:tcPr>
            <w:tcBorders>
              <w:top w:val="single" w:color="8B6FBD" w:sz="1"/>
              <w:left w:val="single" w:color="8B6FBD" w:sz="1"/>
              <w:bottom w:val="single" w:color="8B6FBD" w:sz="1"/>
              <w:right w:val="single" w:color="8B6FBD" w:sz="1"/>
            </w:tcBorders>
            <w:tcMar>
              <w:top w:type="dxa" w:w="80"/>
              <w:left w:type="dxa" w:w="120"/>
              <w:bottom w:type="dxa" w:w="80"/>
              <w:right w:type="dxa" w:w="120"/>
            </w:tcMar>
          </w:tcPr>
          <w:p>
            <w:r>
              <w:t xml:space="preserve">ElevenLabs - Ta voix personnalisée</w:t>
            </w:r>
          </w:p>
        </w:tc>
      </w:tr>
      <w:tr>
        <w:tc>
          <w:tcPr>
            <w:tcBorders>
              <w:top w:val="single" w:color="8B6FBD" w:sz="1"/>
              <w:left w:val="single" w:color="8B6FBD" w:sz="1"/>
              <w:bottom w:val="single" w:color="8B6FBD" w:sz="1"/>
              <w:right w:val="single" w:color="8B6FBD" w:sz="1"/>
            </w:tcBorders>
            <w:tcMar>
              <w:top w:type="dxa" w:w="80"/>
              <w:left w:type="dxa" w:w="120"/>
              <w:bottom w:type="dxa" w:w="80"/>
              <w:right w:type="dxa" w:w="120"/>
            </w:tcMar>
          </w:tcPr>
          <w:p>
            <w:r>
              <w:t xml:space="preserve">📤 Partage Instantané</w:t>
            </w:r>
          </w:p>
        </w:tc>
        <w:tc>
          <w:tcPr>
            <w:tcBorders>
              <w:top w:val="single" w:color="8B6FBD" w:sz="1"/>
              <w:left w:val="single" w:color="8B6FBD" w:sz="1"/>
              <w:bottom w:val="single" w:color="8B6FBD" w:sz="1"/>
              <w:right w:val="single" w:color="8B6FBD" w:sz="1"/>
            </w:tcBorders>
            <w:tcMar>
              <w:top w:type="dxa" w:w="80"/>
              <w:left w:type="dxa" w:w="120"/>
              <w:bottom w:type="dxa" w:w="80"/>
              <w:right w:type="dxa" w:w="120"/>
            </w:tcMar>
          </w:tcPr>
          <w:p>
            <w:r>
              <w:t xml:space="preserve">Email, lien, PDF, clipboard</w:t>
            </w:r>
          </w:p>
        </w:tc>
      </w:tr>
    </w:tbl>
    <w:p>
      <w:pPr>
        <w:spacing w:after="200"/>
      </w:pPr>
    </w:p>
    <w:p>
      <w:pPr>
        <w:pageBreakBefore/>
      </w:pPr>
    </w:p>
    <w:p>
      <w:pPr>
        <w:pStyle w:val="Heading1"/>
      </w:pPr>
      <w:r>
        <w:t xml:space="preserve">2. ARCHITECTURE ULTRA-PUISSANTE</w:t>
      </w:r>
    </w:p>
    <w:p>
      <w:pPr>
        <w:spacing w:after="200"/>
      </w:pPr>
      <w:r>
        <w:t xml:space="preserve">ViVaCoeur IA utilise une architecture en 4 phases pour créer et déployer des agents autonomes de manière optimisée.</w:t>
      </w:r>
    </w:p>
    <w:p>
      <w:pPr>
        <w:pStyle w:val="Heading2"/>
      </w:pPr>
      <w:r>
        <w:t xml:space="preserve">4 Phases d'Exécution</w:t>
      </w:r>
    </w:p>
    <w:p>
      <w:pPr>
        <w:spacing w:after="60"/>
      </w:pPr>
      <w:r>
        <w:t xml:space="preserve">Phase 1: Analyse</w:t>
      </w:r>
    </w:p>
    <w:p>
      <w:pPr>
        <w:spacing w:after="120"/>
      </w:pPr>
      <w:r>
        <w:t xml:space="preserve">Analyse multi-modale (texte, voix, documents). Aucun coût API - entièrement local.</w:t>
      </w:r>
    </w:p>
    <w:p>
      <w:pPr>
        <w:spacing w:after="60"/>
      </w:pPr>
      <w:r>
        <w:t xml:space="preserve">Phase 2: Création</w:t>
      </w:r>
    </w:p>
    <w:p>
      <w:pPr>
        <w:spacing w:after="120"/>
      </w:pPr>
      <w:r>
        <w:t xml:space="preserve">Génération de la spécification complète via Claude API. 2-3 appels API ciblés et optimisés.</w:t>
      </w:r>
    </w:p>
    <w:p>
      <w:pPr>
        <w:spacing w:after="60"/>
      </w:pPr>
      <w:r>
        <w:t xml:space="preserve">Phase 3: Tests</w:t>
      </w:r>
    </w:p>
    <w:p>
      <w:pPr>
        <w:spacing w:after="120"/>
      </w:pPr>
      <w:r>
        <w:t xml:space="preserve">Validation automatique des capacités et fonctionnalités. Tests unitaires intégrés.</w:t>
      </w:r>
    </w:p>
    <w:p>
      <w:pPr>
        <w:spacing w:after="60"/>
      </w:pPr>
      <w:r>
        <w:t xml:space="preserve">Phase 4: Déploiement</w:t>
      </w:r>
    </w:p>
    <w:p>
      <w:pPr>
        <w:spacing w:after="200"/>
      </w:pPr>
      <w:r>
        <w:t xml:space="preserve">Déploiement sur vivacoeur.com (Netlify) avec intégration API complète.</w:t>
      </w:r>
    </w:p>
    <w:p>
      <w:pPr>
        <w:pStyle w:val="Heading2"/>
      </w:pPr>
      <w:r>
        <w:t xml:space="preserve">Optimisation des Coûts API</w:t>
      </w:r>
    </w:p>
    <w:p>
      <w:r>
        <w:t xml:space="preserve">✓ Phase 1 &amp; 3 &amp; 4 = Local (0 crédit API)</w:t>
      </w:r>
    </w:p>
    <w:p>
      <w:r>
        <w:t xml:space="preserve">✓ Phase 2 = API uniquement si clé fournie</w:t>
      </w:r>
    </w:p>
    <w:p>
      <w:r>
        <w:t xml:space="preserve">✓ Mode template = Réutilisable sans appels supplémentaires</w:t>
      </w:r>
    </w:p>
    <w:p>
      <w:pPr>
        <w:spacing w:after="300"/>
      </w:pPr>
      <w:r>
        <w:t xml:space="preserve">✓ Coût estimé: 2-3 appels par agent créé</w:t>
      </w:r>
    </w:p>
    <w:p>
      <w:pPr>
        <w:pageBreakBefore/>
      </w:pPr>
    </w:p>
    <w:p>
      <w:pPr>
        <w:pStyle w:val="Heading1"/>
      </w:pPr>
      <w:r>
        <w:t xml:space="preserve">CONCLUSION</w:t>
      </w:r>
    </w:p>
    <w:p>
      <w:pPr>
        <w:spacing w:after="200"/>
      </w:pPr>
      <w:r>
        <w:t xml:space="preserve">ViVaCoeur IA représente une révolution dans la création et le déploiement d'agents IA pour la formation entrepreneuriale et les domaines spécialisés. Cette plateforme vous permet de scalabiliser vos cours et vos formations de manière exponentielle.</w:t>
      </w:r>
    </w:p>
    <w:p>
      <w:pPr>
        <w:spacing w:after="300"/>
      </w:pPr>
      <w:r>
        <w:t xml:space="preserve">Prochaines étapes: Intégrer ViVaCoeur IA sur vos plateformes (vivacoeur.com, Shopify, Zoom, Google Classroom) et lancer ViVaCoeur Forma Soins pour vos formations en soins à domicile.</w:t>
      </w:r>
    </w:p>
    <w:p>
      <w:pPr>
        <w:jc w:val="center"/>
      </w:pPr>
      <w:r>
        <w:rPr>
          <w:sz w:val="18"/>
          <w:szCs w:val="18"/>
        </w:rPr>
        <w:t xml:space="preserve">---
Document généré le 17/03/2026 | ViVaCoeur IA v1.0
denise@vivacoeur.com | https://vivacoeur.com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2026-03-17T17:55:48.261Z</dcterms:created>
  <dcterms:modified xsi:type="dcterms:W3CDTF">2026-03-17T17:55:48.261Z</dcterms:modified>
</cp:coreProperties>
</file>

<file path=docProps/custom.xml><?xml version="1.0" encoding="utf-8"?>
<Properties xmlns="http://schemas.openxmlformats.org/officeDocument/2006/custom-properties" xmlns:vt="http://schemas.openxmlformats.org/officeDocument/2006/docPropsVTypes"/>
</file>