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No.3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Гельбарт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Цель лабораторной работы - исследование функционала языка разметки Markdown. Также целью является получение навыков составления отчета на данном языке.</w:t>
      </w:r>
      <w:r>
        <w:t xml:space="preserve"> </w:t>
      </w:r>
      <w:r>
        <w:t xml:space="preserve">Для достижения поставленной цели в данном отчете будут продемонстрированы приемы, доступные в Markdown.</w:t>
      </w:r>
    </w:p>
    <w:bookmarkEnd w:id="20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следует разобрать базовые приемы языка Markdown.</w:t>
      </w:r>
    </w:p>
    <w:p>
      <w:pPr>
        <w:numPr>
          <w:ilvl w:val="0"/>
          <w:numId w:val="1001"/>
        </w:numPr>
        <w:pStyle w:val="Compact"/>
      </w:pPr>
      <w:r>
        <w:t xml:space="preserve">Создание заголовков</w:t>
      </w:r>
    </w:p>
    <w:p>
      <w:pPr>
        <w:pStyle w:val="SourceCode"/>
      </w:pPr>
      <w:r>
        <w:rPr>
          <w:rStyle w:val="VerbatimChar"/>
        </w:rPr>
        <w:t xml:space="preserve">## Подзаголовок 1</w:t>
      </w:r>
      <w:r>
        <w:br/>
      </w:r>
      <w:r>
        <w:rPr>
          <w:rStyle w:val="VerbatimChar"/>
        </w:rPr>
        <w:t xml:space="preserve">### Подзаголовок 2</w:t>
      </w:r>
      <w:r>
        <w:br/>
      </w:r>
      <w:r>
        <w:rPr>
          <w:rStyle w:val="VerbatimChar"/>
        </w:rPr>
        <w:t xml:space="preserve">#### Подзаголовок 3</w:t>
      </w:r>
    </w:p>
    <w:bookmarkStart w:id="25" w:name="подзаголовок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Подзаголовок 1</w:t>
      </w:r>
    </w:p>
    <w:bookmarkStart w:id="24" w:name="подзаголовок-2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Подзаголовок 2</w:t>
      </w:r>
    </w:p>
    <w:bookmarkStart w:id="23" w:name="подзаголовок-3"/>
    <w:p>
      <w:pPr>
        <w:pStyle w:val="Heading4"/>
      </w:pPr>
      <w:r>
        <w:rPr>
          <w:rStyle w:val="SectionNumber"/>
        </w:rPr>
        <w:t xml:space="preserve">2.1.1.1</w:t>
      </w:r>
      <w:r>
        <w:tab/>
      </w:r>
      <w:r>
        <w:t xml:space="preserve">Подзаголовок 3</w:t>
      </w:r>
    </w:p>
    <w:p>
      <w:pPr>
        <w:numPr>
          <w:ilvl w:val="0"/>
          <w:numId w:val="1002"/>
        </w:numPr>
        <w:pStyle w:val="Compact"/>
      </w:pPr>
      <w:r>
        <w:t xml:space="preserve">Курсивное и полужирное начертания</w:t>
      </w:r>
    </w:p>
    <w:p>
      <w:pPr>
        <w:pStyle w:val="SourceCode"/>
      </w:pPr>
      <w:r>
        <w:rPr>
          <w:rStyle w:val="VerbatimChar"/>
        </w:rPr>
        <w:t xml:space="preserve">**Полужирный текст**</w:t>
      </w:r>
      <w:r>
        <w:br/>
      </w:r>
      <w:r>
        <w:rPr>
          <w:rStyle w:val="VerbatimChar"/>
        </w:rPr>
        <w:t xml:space="preserve">*Курсивный текст*</w:t>
      </w:r>
      <w:r>
        <w:br/>
      </w:r>
      <w:r>
        <w:rPr>
          <w:rStyle w:val="VerbatimChar"/>
        </w:rPr>
        <w:t xml:space="preserve">***И курсивный, и полужирный текст***</w:t>
      </w:r>
    </w:p>
    <w:p>
      <w:pPr>
        <w:pStyle w:val="FirstParagraph"/>
      </w:pPr>
      <w:r>
        <w:rPr>
          <w:bCs/>
          <w:b/>
        </w:rPr>
        <w:t xml:space="preserve">Полужирный текст</w:t>
      </w:r>
    </w:p>
    <w:p>
      <w:pPr>
        <w:pStyle w:val="BodyText"/>
      </w:pPr>
      <w:r>
        <w:rPr>
          <w:iCs/>
          <w:i/>
        </w:rPr>
        <w:t xml:space="preserve">Курсивный текст</w:t>
      </w:r>
    </w:p>
    <w:p>
      <w:pPr>
        <w:pStyle w:val="BodyText"/>
      </w:pPr>
      <w:r>
        <w:rPr>
          <w:iCs/>
          <w:i/>
          <w:bCs/>
          <w:b/>
        </w:rPr>
        <w:t xml:space="preserve">И курсивный, и полужирный текст</w:t>
      </w:r>
    </w:p>
    <w:p>
      <w:pPr>
        <w:numPr>
          <w:ilvl w:val="0"/>
          <w:numId w:val="1003"/>
        </w:numPr>
        <w:pStyle w:val="Compact"/>
      </w:pPr>
      <w:r>
        <w:t xml:space="preserve">Блоки цитирования</w:t>
      </w:r>
    </w:p>
    <w:p>
      <w:pPr>
        <w:pStyle w:val="FirstParagraph"/>
      </w:pPr>
      <w:r>
        <w:t xml:space="preserve">`</w:t>
      </w:r>
      <w:r>
        <w:rPr>
          <w:rStyle w:val="VerbatimChar"/>
        </w:rPr>
        <w:t xml:space="preserve">&gt; Цитата</w:t>
      </w:r>
    </w:p>
    <w:p>
      <w:pPr>
        <w:pStyle w:val="BlockText"/>
      </w:pPr>
      <w:r>
        <w:t xml:space="preserve">Цитата</w:t>
      </w:r>
    </w:p>
    <w:p>
      <w:pPr>
        <w:numPr>
          <w:ilvl w:val="0"/>
          <w:numId w:val="1004"/>
        </w:numPr>
        <w:pStyle w:val="Compact"/>
      </w:pPr>
      <w:r>
        <w:t xml:space="preserve">Создание списков</w:t>
      </w:r>
    </w:p>
    <w:p>
      <w:pPr>
        <w:pStyle w:val="SourceCode"/>
      </w:pPr>
      <w:r>
        <w:rPr>
          <w:rStyle w:val="VerbatimChar"/>
        </w:rPr>
        <w:t xml:space="preserve">- Первое</w:t>
      </w:r>
      <w:r>
        <w:br/>
      </w:r>
      <w:r>
        <w:rPr>
          <w:rStyle w:val="VerbatimChar"/>
        </w:rPr>
        <w:t xml:space="preserve">- Второе</w:t>
      </w:r>
      <w:r>
        <w:br/>
      </w:r>
      <w:r>
        <w:rPr>
          <w:rStyle w:val="VerbatimChar"/>
        </w:rPr>
        <w:t xml:space="preserve"> - Второе А</w:t>
      </w:r>
      <w:r>
        <w:br/>
      </w:r>
      <w:r>
        <w:rPr>
          <w:rStyle w:val="VerbatimChar"/>
        </w:rPr>
        <w:t xml:space="preserve"> - Второе Б</w:t>
      </w:r>
      <w:r>
        <w:br/>
      </w:r>
      <w:r>
        <w:rPr>
          <w:rStyle w:val="VerbatimChar"/>
        </w:rPr>
        <w:t xml:space="preserve">- Третье</w:t>
      </w:r>
    </w:p>
    <w:p>
      <w:pPr>
        <w:numPr>
          <w:ilvl w:val="0"/>
          <w:numId w:val="1005"/>
        </w:numPr>
        <w:pStyle w:val="Compact"/>
      </w:pPr>
      <w:r>
        <w:t xml:space="preserve">Первое</w:t>
      </w:r>
    </w:p>
    <w:p>
      <w:pPr>
        <w:numPr>
          <w:ilvl w:val="0"/>
          <w:numId w:val="1005"/>
        </w:numPr>
        <w:pStyle w:val="Compact"/>
      </w:pPr>
      <w:r>
        <w:t xml:space="preserve">Второе</w:t>
      </w:r>
    </w:p>
    <w:p>
      <w:pPr>
        <w:numPr>
          <w:ilvl w:val="0"/>
          <w:numId w:val="1005"/>
        </w:numPr>
        <w:pStyle w:val="Compact"/>
      </w:pPr>
      <w:r>
        <w:t xml:space="preserve">Второе А</w:t>
      </w:r>
    </w:p>
    <w:p>
      <w:pPr>
        <w:numPr>
          <w:ilvl w:val="0"/>
          <w:numId w:val="1005"/>
        </w:numPr>
        <w:pStyle w:val="Compact"/>
      </w:pPr>
      <w:r>
        <w:t xml:space="preserve">Второе Б</w:t>
      </w:r>
    </w:p>
    <w:p>
      <w:pPr>
        <w:numPr>
          <w:ilvl w:val="0"/>
          <w:numId w:val="1005"/>
        </w:numPr>
        <w:pStyle w:val="Compact"/>
      </w:pPr>
      <w:r>
        <w:t xml:space="preserve">Третье</w:t>
      </w:r>
    </w:p>
    <w:p>
      <w:pPr>
        <w:pStyle w:val="SourceCode"/>
      </w:pPr>
      <w:r>
        <w:rPr>
          <w:rStyle w:val="VerbatimChar"/>
        </w:rPr>
        <w:t xml:space="preserve">1. Первое</w:t>
      </w:r>
      <w:r>
        <w:br/>
      </w:r>
      <w:r>
        <w:rPr>
          <w:rStyle w:val="VerbatimChar"/>
        </w:rPr>
        <w:t xml:space="preserve">1. Второе</w:t>
      </w:r>
      <w:r>
        <w:br/>
      </w:r>
      <w:r>
        <w:rPr>
          <w:rStyle w:val="VerbatimChar"/>
        </w:rPr>
        <w:t xml:space="preserve"> 1. Второе А</w:t>
      </w:r>
      <w:r>
        <w:br/>
      </w:r>
      <w:r>
        <w:rPr>
          <w:rStyle w:val="VerbatimChar"/>
        </w:rPr>
        <w:t xml:space="preserve"> 1. Второе Б</w:t>
      </w:r>
      <w:r>
        <w:br/>
      </w:r>
      <w:r>
        <w:rPr>
          <w:rStyle w:val="VerbatimChar"/>
        </w:rPr>
        <w:t xml:space="preserve">1. Третье</w:t>
      </w:r>
    </w:p>
    <w:p>
      <w:pPr>
        <w:numPr>
          <w:ilvl w:val="0"/>
          <w:numId w:val="1006"/>
        </w:numPr>
        <w:pStyle w:val="Compact"/>
      </w:pPr>
      <w:r>
        <w:t xml:space="preserve">Первое</w:t>
      </w:r>
    </w:p>
    <w:p>
      <w:pPr>
        <w:numPr>
          <w:ilvl w:val="0"/>
          <w:numId w:val="1006"/>
        </w:numPr>
        <w:pStyle w:val="Compact"/>
      </w:pPr>
      <w:r>
        <w:t xml:space="preserve">Второе</w:t>
      </w:r>
    </w:p>
    <w:p>
      <w:pPr>
        <w:numPr>
          <w:ilvl w:val="0"/>
          <w:numId w:val="1006"/>
        </w:numPr>
        <w:pStyle w:val="Compact"/>
      </w:pPr>
      <w:r>
        <w:t xml:space="preserve">Второе А</w:t>
      </w:r>
    </w:p>
    <w:p>
      <w:pPr>
        <w:numPr>
          <w:ilvl w:val="0"/>
          <w:numId w:val="1006"/>
        </w:numPr>
        <w:pStyle w:val="Compact"/>
      </w:pPr>
      <w:r>
        <w:t xml:space="preserve">Второе Б</w:t>
      </w:r>
    </w:p>
    <w:p>
      <w:pPr>
        <w:numPr>
          <w:ilvl w:val="0"/>
          <w:numId w:val="1006"/>
        </w:numPr>
        <w:pStyle w:val="Compact"/>
      </w:pPr>
      <w:r>
        <w:t xml:space="preserve">Третье</w:t>
      </w:r>
    </w:p>
    <w:p>
      <w:pPr>
        <w:numPr>
          <w:ilvl w:val="0"/>
          <w:numId w:val="1007"/>
        </w:numPr>
        <w:pStyle w:val="Compact"/>
      </w:pPr>
      <w:r>
        <w:t xml:space="preserve">Встроенные ссылки</w:t>
      </w:r>
    </w:p>
    <w:p>
      <w:pPr>
        <w:pStyle w:val="SourceCode"/>
      </w:pPr>
      <w:r>
        <w:rPr>
          <w:rStyle w:val="VerbatimChar"/>
        </w:rPr>
        <w:t xml:space="preserve">[ссылка](report1.md)</w:t>
      </w:r>
    </w:p>
    <w:p>
      <w:pPr>
        <w:pStyle w:val="FirstParagraph"/>
      </w:pPr>
      <w:hyperlink r:id="rId21">
        <w:r>
          <w:rPr>
            <w:rStyle w:val="Hyperlink"/>
          </w:rPr>
          <w:t xml:space="preserve">ссылка</w:t>
        </w:r>
      </w:hyperlink>
    </w:p>
    <w:p>
      <w:pPr>
        <w:numPr>
          <w:ilvl w:val="0"/>
          <w:numId w:val="1008"/>
        </w:numPr>
        <w:pStyle w:val="Compact"/>
      </w:pPr>
      <w:r>
        <w:t xml:space="preserve">Верхние и нижние индексы</w:t>
      </w:r>
    </w:p>
    <w:p>
      <w:pPr>
        <w:pStyle w:val="SourceCode"/>
      </w:pPr>
      <w:r>
        <w:rPr>
          <w:rStyle w:val="VerbatimChar"/>
        </w:rPr>
        <w:t xml:space="preserve">H~2~O</w:t>
      </w:r>
    </w:p>
    <w:p>
      <w:pPr>
        <w:pStyle w:val="FirstParagraph"/>
      </w:pP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pPr>
        <w:pStyle w:val="SourceCode"/>
      </w:pPr>
      <w:r>
        <w:rPr>
          <w:rStyle w:val="VerbatimChar"/>
        </w:rPr>
        <w:t xml:space="preserve">2^10^</w:t>
      </w:r>
    </w:p>
    <w:p>
      <w:pPr>
        <w:pStyle w:val="FirstParagraph"/>
      </w:pPr>
      <w:r>
        <w:t xml:space="preserve">2</w:t>
      </w:r>
      <w:r>
        <w:rPr>
          <w:vertAlign w:val="superscript"/>
        </w:rPr>
        <w:t xml:space="preserve">10</w:t>
      </w:r>
    </w:p>
    <w:p>
      <w:pPr>
        <w:numPr>
          <w:ilvl w:val="0"/>
          <w:numId w:val="1009"/>
        </w:numPr>
        <w:pStyle w:val="Compact"/>
      </w:pPr>
      <w:r>
        <w:t xml:space="preserve">Запись формул</w:t>
      </w:r>
    </w:p>
    <w:p>
      <w:pPr>
        <w:pStyle w:val="SourceCode"/>
      </w:pPr>
      <w:r>
        <w:rPr>
          <w:rStyle w:val="VerbatimChar"/>
        </w:rPr>
        <w:t xml:space="preserve">$\sin^2 (x) + \cos^2 (x) =1$</w:t>
      </w:r>
    </w:p>
    <w:p>
      <w:pPr>
        <w:pStyle w:val="FirstParagraph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10"/>
        </w:numPr>
        <w:pStyle w:val="Compact"/>
      </w:pPr>
      <w:r>
        <w:t xml:space="preserve">Ссылки в тексте</w:t>
      </w:r>
    </w:p>
    <w:p>
      <w:pPr>
        <w:pStyle w:val="SourceCode"/>
      </w:pPr>
      <w:r>
        <w:rPr>
          <w:rStyle w:val="VerbatimChar"/>
        </w:rPr>
        <w:t xml:space="preserve">$$</w:t>
      </w:r>
      <w:r>
        <w:br/>
      </w:r>
      <w:r>
        <w:rPr>
          <w:rStyle w:val="VerbatimChar"/>
        </w:rPr>
        <w:t xml:space="preserve">\sin^2 (x) + \cos^2 (x) = 1</w:t>
      </w:r>
      <w:r>
        <w:br/>
      </w:r>
      <w:r>
        <w:rPr>
          <w:rStyle w:val="VerbatimChar"/>
        </w:rPr>
        <w:t xml:space="preserve">$$ {#eq:eq:sin2+cos2}</w:t>
      </w:r>
      <w:r>
        <w:br/>
      </w:r>
      <w:r>
        <w:br/>
      </w:r>
      <w:r>
        <w:rPr>
          <w:rStyle w:val="VerbatimChar"/>
        </w:rPr>
        <w:t xml:space="preserve">См. формулу ([-@eq:eq:sin2+cos2]).</w:t>
      </w:r>
    </w:p>
    <w:p>
      <w:pPr>
        <w:pStyle w:val="FirstParagraph"/>
      </w:pPr>
      <w:bookmarkStart w:id="22" w:name="eq:eq:sin2+cos2"/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r>
        <w:t xml:space="preserve">См. формулу (1).</w:t>
      </w:r>
    </w:p>
    <w:bookmarkEnd w:id="23"/>
    <w:bookmarkEnd w:id="24"/>
    <w:bookmarkEnd w:id="25"/>
    <w:bookmarkEnd w:id="26"/>
    <w:bookmarkStart w:id="27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Был рассмотрен основной функционал языка разметки Markdown, все, необходимое для оформления отчетов по дальнейшим лабораторным работам, было рассмотрено.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report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report1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No.3</dc:title>
  <dc:creator>Лев Гельбарт</dc:creator>
  <dc:language>ru-RU</dc:language>
  <cp:keywords/>
  <dcterms:created xsi:type="dcterms:W3CDTF">2023-02-25T11:54:08Z</dcterms:created>
  <dcterms:modified xsi:type="dcterms:W3CDTF">2023-02-25T11:54:08Z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