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1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Гельбарт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цель - разобраться с редактором emacs, с его интерфейсом и функционалом.</w:t>
      </w:r>
    </w:p>
    <w:bookmarkEnd w:id="20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Начнем написав emacs, этим запускаем редактор. Создаем файл Ctrl-x Ctrl-f. Вписываем в него нужный нам текст, сохраняем его Ctrl-x Ctrl-s (рис. fig. 1).</w:t>
      </w:r>
    </w:p>
    <w:p>
      <w:pPr>
        <w:pStyle w:val="CaptionedFigure"/>
      </w:pPr>
      <w:bookmarkStart w:id="24" w:name="fig:001"/>
      <w:r>
        <w:drawing>
          <wp:inline>
            <wp:extent cx="5334000" cy="5705153"/>
            <wp:effectExtent b="0" l="0" r="0" t="0"/>
            <wp:docPr descr="Рис. 1: emacs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emacs</w:t>
      </w:r>
    </w:p>
    <w:p>
      <w:pPr>
        <w:pStyle w:val="BodyText"/>
      </w:pPr>
      <w:r>
        <w:t xml:space="preserve">Вырезаем строку Ctrl-k (рис. fig. 2).</w:t>
      </w:r>
    </w:p>
    <w:p>
      <w:pPr>
        <w:pStyle w:val="CaptionedFigure"/>
      </w:pPr>
      <w:bookmarkStart w:id="28" w:name="fig:002"/>
      <w:r>
        <w:drawing>
          <wp:inline>
            <wp:extent cx="5334000" cy="5705153"/>
            <wp:effectExtent b="0" l="0" r="0" t="0"/>
            <wp:docPr descr="Рис. 2: emacs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emacs</w:t>
      </w:r>
    </w:p>
    <w:p>
      <w:pPr>
        <w:pStyle w:val="BodyText"/>
      </w:pPr>
      <w:r>
        <w:t xml:space="preserve">ставляем в конец файла Ctrl-y (рис. fig. 3).</w:t>
      </w:r>
    </w:p>
    <w:p>
      <w:pPr>
        <w:pStyle w:val="CaptionedFigure"/>
      </w:pPr>
      <w:bookmarkStart w:id="32" w:name="fig:003"/>
      <w:r>
        <w:drawing>
          <wp:inline>
            <wp:extent cx="5334000" cy="5705153"/>
            <wp:effectExtent b="0" l="0" r="0" t="0"/>
            <wp:docPr descr="Рис. 3: emacs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emacs</w:t>
      </w:r>
    </w:p>
    <w:p>
      <w:pPr>
        <w:pStyle w:val="BodyText"/>
      </w:pPr>
      <w:r>
        <w:t xml:space="preserve">Выделяем часть текста Ctrl-space (рис. fig. 4).</w:t>
      </w:r>
    </w:p>
    <w:p>
      <w:pPr>
        <w:pStyle w:val="CaptionedFigure"/>
      </w:pPr>
      <w:bookmarkStart w:id="36" w:name="fig:004"/>
      <w:r>
        <w:drawing>
          <wp:inline>
            <wp:extent cx="5334000" cy="5705153"/>
            <wp:effectExtent b="0" l="0" r="0" t="0"/>
            <wp:docPr descr="Рис. 4: emacs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emacs</w:t>
      </w:r>
    </w:p>
    <w:p>
      <w:pPr>
        <w:pStyle w:val="BodyText"/>
      </w:pPr>
      <w:r>
        <w:t xml:space="preserve">Другую выделенную часть копируем - вставляем Alt-w, Ctrl-y(рис. fig. 5).</w:t>
      </w:r>
    </w:p>
    <w:p>
      <w:pPr>
        <w:pStyle w:val="CaptionedFigure"/>
      </w:pPr>
      <w:bookmarkStart w:id="40" w:name="fig:005"/>
      <w:r>
        <w:drawing>
          <wp:inline>
            <wp:extent cx="5334000" cy="5705153"/>
            <wp:effectExtent b="0" l="0" r="0" t="0"/>
            <wp:docPr descr="Рис. 5: emacs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emacs</w:t>
      </w:r>
    </w:p>
    <w:p>
      <w:pPr>
        <w:pStyle w:val="BodyText"/>
      </w:pPr>
      <w:r>
        <w:t xml:space="preserve">Снова выделяем, на этот раз вырезаем Ctrl-w (рис. fig. 6).</w:t>
      </w:r>
    </w:p>
    <w:p>
      <w:pPr>
        <w:pStyle w:val="CaptionedFigure"/>
      </w:pPr>
      <w:bookmarkStart w:id="44" w:name="fig:006"/>
      <w:r>
        <w:drawing>
          <wp:inline>
            <wp:extent cx="5334000" cy="5705153"/>
            <wp:effectExtent b="0" l="0" r="0" t="0"/>
            <wp:docPr descr="Рис. 6: emacs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emacs</w:t>
      </w:r>
    </w:p>
    <w:p>
      <w:pPr>
        <w:pStyle w:val="BodyText"/>
      </w:pPr>
      <w:r>
        <w:t xml:space="preserve">Отменяем последнее действие Ctrl-/ (рис. fig. 7).</w:t>
      </w:r>
    </w:p>
    <w:p>
      <w:pPr>
        <w:pStyle w:val="CaptionedFigure"/>
      </w:pPr>
      <w:bookmarkStart w:id="48" w:name="fig:007"/>
      <w:r>
        <w:drawing>
          <wp:inline>
            <wp:extent cx="5334000" cy="5705153"/>
            <wp:effectExtent b="0" l="0" r="0" t="0"/>
            <wp:docPr descr="Рис. 7: emacs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emacs</w:t>
      </w:r>
    </w:p>
    <w:p>
      <w:pPr>
        <w:pStyle w:val="BodyText"/>
      </w:pPr>
      <w:r>
        <w:t xml:space="preserve">Теперь играем курсором. Ставим его в начало строки Ctrl-a (рис. fig. 8).</w:t>
      </w:r>
    </w:p>
    <w:p>
      <w:pPr>
        <w:pStyle w:val="CaptionedFigure"/>
      </w:pPr>
      <w:bookmarkStart w:id="52" w:name="fig:008"/>
      <w:r>
        <w:drawing>
          <wp:inline>
            <wp:extent cx="5334000" cy="5705153"/>
            <wp:effectExtent b="0" l="0" r="0" t="0"/>
            <wp:docPr descr="Рис. 8: emacs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emacs</w:t>
      </w:r>
    </w:p>
    <w:p>
      <w:pPr>
        <w:pStyle w:val="BodyText"/>
      </w:pPr>
      <w:r>
        <w:t xml:space="preserve">В конец строки Ctrl-e (рис. fig. 9).</w:t>
      </w:r>
    </w:p>
    <w:p>
      <w:pPr>
        <w:pStyle w:val="CaptionedFigure"/>
      </w:pPr>
      <w:bookmarkStart w:id="56" w:name="fig:009"/>
      <w:r>
        <w:drawing>
          <wp:inline>
            <wp:extent cx="5334000" cy="5705153"/>
            <wp:effectExtent b="0" l="0" r="0" t="0"/>
            <wp:docPr descr="Рис. 9: emacs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emacs</w:t>
      </w:r>
    </w:p>
    <w:p>
      <w:pPr>
        <w:pStyle w:val="BodyText"/>
      </w:pPr>
      <w:r>
        <w:t xml:space="preserve">Перемещаемся в начало буфера Alt-&lt; (рис. fig. 10).</w:t>
      </w:r>
    </w:p>
    <w:p>
      <w:pPr>
        <w:pStyle w:val="CaptionedFigure"/>
      </w:pPr>
      <w:bookmarkStart w:id="60" w:name="fig:010"/>
      <w:r>
        <w:drawing>
          <wp:inline>
            <wp:extent cx="5334000" cy="5705153"/>
            <wp:effectExtent b="0" l="0" r="0" t="0"/>
            <wp:docPr descr="Рис. 10: emacs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emacs</w:t>
      </w:r>
    </w:p>
    <w:p>
      <w:pPr>
        <w:pStyle w:val="BodyText"/>
      </w:pPr>
      <w:r>
        <w:t xml:space="preserve">В конец буфера Alt-&gt; (рис. fig. 11).</w:t>
      </w:r>
    </w:p>
    <w:p>
      <w:pPr>
        <w:pStyle w:val="CaptionedFigure"/>
      </w:pPr>
      <w:bookmarkStart w:id="64" w:name="fig:011"/>
      <w:r>
        <w:drawing>
          <wp:inline>
            <wp:extent cx="5334000" cy="5705153"/>
            <wp:effectExtent b="0" l="0" r="0" t="0"/>
            <wp:docPr descr="Рис. 11: emacs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emacs</w:t>
      </w:r>
    </w:p>
    <w:p>
      <w:pPr>
        <w:pStyle w:val="BodyText"/>
      </w:pPr>
      <w:r>
        <w:t xml:space="preserve">Теперь откроем список активных буферов на весь экран Ctrl-x Ctrl-b (рис. fig. 12) (он был и на предыдущих фото).</w:t>
      </w:r>
    </w:p>
    <w:p>
      <w:pPr>
        <w:pStyle w:val="CaptionedFigure"/>
      </w:pPr>
      <w:bookmarkStart w:id="68" w:name="fig:012"/>
      <w:r>
        <w:drawing>
          <wp:inline>
            <wp:extent cx="5334000" cy="5705153"/>
            <wp:effectExtent b="0" l="0" r="0" t="0"/>
            <wp:docPr descr="Рис. 12: emacs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emacs</w:t>
      </w:r>
    </w:p>
    <w:p>
      <w:pPr>
        <w:pStyle w:val="BodyText"/>
      </w:pPr>
      <w:r>
        <w:t xml:space="preserve">Открываем другой буфер Ctrl-x (рис. fig. 13).</w:t>
      </w:r>
    </w:p>
    <w:p>
      <w:pPr>
        <w:pStyle w:val="CaptionedFigure"/>
      </w:pPr>
      <w:bookmarkStart w:id="72" w:name="fig:013"/>
      <w:r>
        <w:drawing>
          <wp:inline>
            <wp:extent cx="5334000" cy="5705153"/>
            <wp:effectExtent b="0" l="0" r="0" t="0"/>
            <wp:docPr descr="Рис. 13: emacs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emacs</w:t>
      </w:r>
    </w:p>
    <w:p>
      <w:pPr>
        <w:pStyle w:val="BodyText"/>
      </w:pPr>
      <w:r>
        <w:t xml:space="preserve">Теперь закрываем это окно Ctrl-x 0(рис. fig. 14).</w:t>
      </w:r>
    </w:p>
    <w:p>
      <w:pPr>
        <w:pStyle w:val="CaptionedFigure"/>
      </w:pPr>
      <w:bookmarkStart w:id="76" w:name="fig:014"/>
      <w:r>
        <w:drawing>
          <wp:inline>
            <wp:extent cx="5334000" cy="5705153"/>
            <wp:effectExtent b="0" l="0" r="0" t="0"/>
            <wp:docPr descr="Рис. 14: emacs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emacs</w:t>
      </w:r>
    </w:p>
    <w:p>
      <w:pPr>
        <w:pStyle w:val="BodyText"/>
      </w:pPr>
      <w:r>
        <w:t xml:space="preserve">Переключаемся между буферами, но не выводя меню в явном виде Ctrl-x b (рис. fig. 15).</w:t>
      </w:r>
    </w:p>
    <w:p>
      <w:pPr>
        <w:pStyle w:val="CaptionedFigure"/>
      </w:pPr>
      <w:bookmarkStart w:id="80" w:name="fig:015"/>
      <w:r>
        <w:drawing>
          <wp:inline>
            <wp:extent cx="5334000" cy="5705153"/>
            <wp:effectExtent b="0" l="0" r="0" t="0"/>
            <wp:docPr descr="Рис. 15: emacs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emacs</w:t>
      </w:r>
    </w:p>
    <w:p>
      <w:pPr>
        <w:pStyle w:val="BodyText"/>
      </w:pPr>
      <w:r>
        <w:t xml:space="preserve">Теперь раскроим фрейм на 4 окна Ctrl-x 3, затем в каждой половине Ctrl-x 2 (рис. fig. 16).</w:t>
      </w:r>
    </w:p>
    <w:p>
      <w:pPr>
        <w:pStyle w:val="CaptionedFigure"/>
      </w:pPr>
      <w:bookmarkStart w:id="84" w:name="fig:016"/>
      <w:r>
        <w:drawing>
          <wp:inline>
            <wp:extent cx="5334000" cy="5705153"/>
            <wp:effectExtent b="0" l="0" r="0" t="0"/>
            <wp:docPr descr="Рис. 16: emacs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emacs</w:t>
      </w:r>
    </w:p>
    <w:p>
      <w:pPr>
        <w:pStyle w:val="BodyText"/>
      </w:pPr>
      <w:r>
        <w:t xml:space="preserve">В каждом окне создадим свой буфер и напишем в каждом свой случайный набор букв Ctrl-x Ctrl-f. Поищем в одном буфере букву</w:t>
      </w:r>
      <w:r>
        <w:t xml:space="preserve"> </w:t>
      </w:r>
      <w:r>
        <w:t xml:space="preserve">“</w:t>
      </w:r>
      <w:r>
        <w:t xml:space="preserve">е</w:t>
      </w:r>
      <w:r>
        <w:t xml:space="preserve">”</w:t>
      </w:r>
      <w:r>
        <w:t xml:space="preserve"> </w:t>
      </w:r>
      <w:r>
        <w:t xml:space="preserve">Ctrl-s (рис. fig. 17).</w:t>
      </w:r>
    </w:p>
    <w:p>
      <w:pPr>
        <w:pStyle w:val="CaptionedFigure"/>
      </w:pPr>
      <w:bookmarkStart w:id="88" w:name="fig:017"/>
      <w:r>
        <w:drawing>
          <wp:inline>
            <wp:extent cx="5334000" cy="5705153"/>
            <wp:effectExtent b="0" l="0" r="0" t="0"/>
            <wp:docPr descr="Рис. 17: emacs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emacs</w:t>
      </w:r>
    </w:p>
    <w:p>
      <w:pPr>
        <w:pStyle w:val="BodyText"/>
      </w:pPr>
      <w:r>
        <w:t xml:space="preserve">Переключимся на другой результат поиска Ctrl-s (рис. fig. 18).</w:t>
      </w:r>
    </w:p>
    <w:p>
      <w:pPr>
        <w:pStyle w:val="CaptionedFigure"/>
      </w:pPr>
      <w:bookmarkStart w:id="92" w:name="fig:018"/>
      <w:r>
        <w:drawing>
          <wp:inline>
            <wp:extent cx="5334000" cy="5705153"/>
            <wp:effectExtent b="0" l="0" r="0" t="0"/>
            <wp:docPr descr="Рис. 18: emacs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emacs</w:t>
      </w:r>
    </w:p>
    <w:p>
      <w:pPr>
        <w:pStyle w:val="BodyText"/>
      </w:pPr>
      <w:r>
        <w:t xml:space="preserve">Выходим из поиска Ctrl-g (рис. fig. 19).</w:t>
      </w:r>
    </w:p>
    <w:p>
      <w:pPr>
        <w:pStyle w:val="CaptionedFigure"/>
      </w:pPr>
      <w:bookmarkStart w:id="96" w:name="fig:019"/>
      <w:r>
        <w:drawing>
          <wp:inline>
            <wp:extent cx="5334000" cy="5705153"/>
            <wp:effectExtent b="0" l="0" r="0" t="0"/>
            <wp:docPr descr="Рис. 19: emacs" title="" id="94" name="Picture"/>
            <a:graphic>
              <a:graphicData uri="http://schemas.openxmlformats.org/drawingml/2006/picture">
                <pic:pic>
                  <pic:nvPicPr>
                    <pic:cNvPr descr="image/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emacs</w:t>
      </w:r>
    </w:p>
    <w:p>
      <w:pPr>
        <w:pStyle w:val="BodyText"/>
      </w:pPr>
      <w:r>
        <w:t xml:space="preserve">Запросим поиск текста на изменение Alt-% (рис. fig. 20).</w:t>
      </w:r>
    </w:p>
    <w:p>
      <w:pPr>
        <w:pStyle w:val="CaptionedFigure"/>
      </w:pPr>
      <w:bookmarkStart w:id="100" w:name="fig:020"/>
      <w:r>
        <w:drawing>
          <wp:inline>
            <wp:extent cx="5334000" cy="5705153"/>
            <wp:effectExtent b="0" l="0" r="0" t="0"/>
            <wp:docPr descr="Рис. 20: emacs" title="" id="98" name="Picture"/>
            <a:graphic>
              <a:graphicData uri="http://schemas.openxmlformats.org/drawingml/2006/picture">
                <pic:pic>
                  <pic:nvPicPr>
                    <pic:cNvPr descr="image/2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emacs</w:t>
      </w:r>
    </w:p>
    <w:p>
      <w:pPr>
        <w:pStyle w:val="BodyText"/>
      </w:pPr>
      <w:r>
        <w:t xml:space="preserve">Введем текст, на который надо совершить замену (рис. fig. 21).</w:t>
      </w:r>
    </w:p>
    <w:p>
      <w:pPr>
        <w:pStyle w:val="CaptionedFigure"/>
      </w:pPr>
      <w:bookmarkStart w:id="104" w:name="fig:021"/>
      <w:r>
        <w:drawing>
          <wp:inline>
            <wp:extent cx="5334000" cy="5705153"/>
            <wp:effectExtent b="0" l="0" r="0" t="0"/>
            <wp:docPr descr="Рис. 21: emacs" title="" id="102" name="Picture"/>
            <a:graphic>
              <a:graphicData uri="http://schemas.openxmlformats.org/drawingml/2006/picture">
                <pic:pic>
                  <pic:nvPicPr>
                    <pic:cNvPr descr="image/2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emacs</w:t>
      </w:r>
    </w:p>
    <w:p>
      <w:pPr>
        <w:pStyle w:val="BodyText"/>
      </w:pPr>
      <w:r>
        <w:t xml:space="preserve">Теперь задействуем иную модель поиска. Это поиск не посимвольно, а поиск по строке Alt-s 0 (рис. fig. 22).</w:t>
      </w:r>
    </w:p>
    <w:p>
      <w:pPr>
        <w:pStyle w:val="CaptionedFigure"/>
      </w:pPr>
      <w:bookmarkStart w:id="108" w:name="fig:022"/>
      <w:r>
        <w:drawing>
          <wp:inline>
            <wp:extent cx="5334000" cy="5705153"/>
            <wp:effectExtent b="0" l="0" r="0" t="0"/>
            <wp:docPr descr="Рис. 22: emacs" title="" id="106" name="Picture"/>
            <a:graphic>
              <a:graphicData uri="http://schemas.openxmlformats.org/drawingml/2006/picture">
                <pic:pic>
                  <pic:nvPicPr>
                    <pic:cNvPr descr="image/23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emacs</w:t>
      </w:r>
    </w:p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освоен редактор emacs со своим функционалом и интерфейсом.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1" Target="media/rId21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Лев Гельбарт</dc:creator>
  <dc:language>ru-RU</dc:language>
  <cp:keywords/>
  <dcterms:created xsi:type="dcterms:W3CDTF">2023-04-08T18:37:43Z</dcterms:created>
  <dcterms:modified xsi:type="dcterms:W3CDTF">2023-04-08T18:37:43Z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