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F056804">
      <w:pPr>
        <w:pStyle w:val="style0"/>
        <w:jc w:val="center"/>
        <w:rPr/>
      </w:pPr>
      <w:r>
        <w:rPr>
          <w:b/>
          <w:sz w:val="36"/>
        </w:rPr>
        <w:t>WEEK 3 – UNSUPERVISED LEARNING</w:t>
      </w:r>
    </w:p>
    <w:p w14:paraId="A5F91599">
      <w:pPr>
        <w:pStyle w:val="style0"/>
        <w:jc w:val="center"/>
        <w:rPr/>
      </w:pPr>
      <w:r>
        <w:rPr>
          <w:b/>
          <w:sz w:val="26"/>
        </w:rPr>
        <w:t>K-Means Clustering of Wine Samples</w:t>
      </w:r>
    </w:p>
    <w:p w14:paraId="A6341EA9">
      <w:pPr>
        <w:pStyle w:val="style0"/>
        <w:jc w:val="center"/>
        <w:rPr>
          <w:i/>
        </w:rPr>
      </w:pPr>
      <w:r>
        <w:rPr>
          <w:i/>
          <w:lang w:val="en-US"/>
        </w:rPr>
        <w:t>Yuva Intern (NSDC) --</w:t>
      </w:r>
      <w:r>
        <w:rPr>
          <w:i/>
        </w:rPr>
        <w:t xml:space="preserve">Data Science Internship </w:t>
      </w:r>
    </w:p>
    <w:p w14:paraId="0C08E1E8">
      <w:pPr>
        <w:pStyle w:val="style0"/>
        <w:jc w:val="center"/>
        <w:rPr>
          <w:i/>
          <w:lang w:val="en-US"/>
        </w:rPr>
      </w:pPr>
      <w:r>
        <w:rPr>
          <w:i/>
          <w:lang w:val="en-US"/>
        </w:rPr>
        <w:t>Dataset: UCI Wine dataset</w:t>
      </w:r>
    </w:p>
    <w:p w14:paraId="AD4604FA">
      <w:pPr>
        <w:pStyle w:val="style0"/>
        <w:jc w:val="center"/>
        <w:rPr/>
      </w:pPr>
      <w:r>
        <w:rPr>
          <w:i/>
          <w:lang w:val="en-US"/>
        </w:rPr>
        <w:t>GitHub: GitHub.com/levi-Akkk/yuva-intern-data-science</w:t>
      </w:r>
    </w:p>
    <w:p w14:paraId="D0E2C465">
      <w:pPr>
        <w:pStyle w:val="style1"/>
        <w:rPr/>
      </w:pPr>
      <w:r>
        <w:t>1. Objective</w:t>
      </w:r>
    </w:p>
    <w:p w14:paraId="D9B330EF">
      <w:pPr>
        <w:pStyle w:val="style0"/>
        <w:rPr/>
      </w:pPr>
      <w:r>
        <w:t>The objective was to apply unsupervised learning to group wine samples into meaningful clusters using K-Means. The analysis includes preprocessing, selection of the number of clusters, cluster formation, visualization and interpretation.</w:t>
      </w:r>
    </w:p>
    <w:p w14:paraId="0D627DCC">
      <w:pPr>
        <w:pStyle w:val="style1"/>
        <w:rPr/>
      </w:pPr>
      <w:r>
        <w:t>2. Dataset</w:t>
      </w:r>
    </w:p>
    <w:p w14:paraId="689B734A">
      <w:pPr>
        <w:pStyle w:val="style0"/>
        <w:rPr/>
      </w:pPr>
      <w:r>
        <w:t>The Wine dataset contains 178 samples and 13 chemical features. It represents wines from three cultivars. The original target labels were kept only for post-clustering comparison and were not used to create the clusters.</w:t>
      </w:r>
    </w:p>
    <w:p w14:paraId="F863A94E">
      <w:pPr>
        <w:pStyle w:val="style1"/>
        <w:rPr/>
      </w:pPr>
      <w:r>
        <w:t>3. Preprocessing</w:t>
      </w:r>
    </w:p>
    <w:p w14:paraId="185893CF">
      <w:pPr>
        <w:pStyle w:val="style0"/>
        <w:rPr/>
      </w:pPr>
      <w:r>
        <w:t>The target column was excluded from clustering. The 13 numerical features were standardized using StandardScaler so that variables with larger numerical ranges did not dominate the Euclidean-distance calculation used by K-Means.</w:t>
      </w:r>
    </w:p>
    <w:p w14:paraId="A5CF77CD">
      <w:pPr>
        <w:pStyle w:val="style1"/>
        <w:rPr/>
      </w:pPr>
      <w:r>
        <w:t>4. Selecting K</w:t>
      </w:r>
    </w:p>
    <w:p w14:paraId="FDE077C7">
      <w:pPr>
        <w:pStyle w:val="style0"/>
        <w:rPr/>
      </w:pPr>
      <w:r>
        <w:t>K was tested from 2 to 8. The silhouette score was highest at K=3 (0.2849). The elbow plot also shows the largest reduction in inertia from K=2 to K=3, followed by smaller improvements. Therefore, K=3 was selected.</w:t>
      </w:r>
    </w:p>
    <w:p w14:paraId="D8F95CF2">
      <w:pPr>
        <w:pStyle w:val="style0"/>
        <w:jc w:val="center"/>
        <w:rPr/>
      </w:pPr>
      <w:r>
        <w:rPr/>
        <w:drawing>
          <wp:inline distL="0" distT="0" distB="0" distR="0">
            <wp:extent cx="5029200" cy="3233057"/>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029200" cy="3233057"/>
                    </a:xfrm>
                    <a:prstGeom prst="rect"/>
                  </pic:spPr>
                </pic:pic>
              </a:graphicData>
            </a:graphic>
          </wp:inline>
        </w:drawing>
      </w:r>
    </w:p>
    <w:p w14:paraId="822FAF47">
      <w:pPr>
        <w:pStyle w:val="style0"/>
        <w:jc w:val="center"/>
        <w:rPr/>
      </w:pPr>
      <w:r>
        <w:rPr>
          <w:i/>
          <w:sz w:val="16"/>
        </w:rPr>
        <w:t>Figure 1. Elbow method.</w:t>
      </w:r>
    </w:p>
    <w:p w14:paraId="4619ECA4">
      <w:pPr>
        <w:pStyle w:val="style0"/>
        <w:jc w:val="center"/>
        <w:rPr/>
      </w:pPr>
      <w:r>
        <w:rPr/>
        <w:drawing>
          <wp:inline distL="0" distT="0" distB="0" distR="0">
            <wp:extent cx="5029200" cy="3233057"/>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029200" cy="3233057"/>
                    </a:xfrm>
                    <a:prstGeom prst="rect"/>
                  </pic:spPr>
                </pic:pic>
              </a:graphicData>
            </a:graphic>
          </wp:inline>
        </w:drawing>
      </w:r>
    </w:p>
    <w:p w14:paraId="53CA92C8">
      <w:pPr>
        <w:pStyle w:val="style0"/>
        <w:jc w:val="center"/>
        <w:rPr/>
      </w:pPr>
      <w:r>
        <w:rPr>
          <w:i/>
          <w:sz w:val="16"/>
        </w:rPr>
        <w:t>Figure 2. Silhouette scores.</w:t>
      </w:r>
    </w:p>
    <w:p w14:paraId="F730B2A7">
      <w:pPr>
        <w:pStyle w:val="style1"/>
        <w:rPr/>
      </w:pPr>
      <w:r>
        <w:t>5. Final K-Means Results</w:t>
      </w:r>
    </w:p>
    <w:p w14:paraId="3D2D7F56">
      <w:pPr>
        <w:pStyle w:val="style0"/>
        <w:rPr/>
      </w:pPr>
      <w:r>
        <w:t>With K=3, the final silhouette score was 0.2849. The clusters contained 65, 51 and 62 samples respectively. The score is modest, so the clusters should be interpreted as useful structure rather than perfectly separated groups.</w:t>
      </w:r>
    </w:p>
    <w:tbl>
      <w:tblPr>
        <w:tblStyle w:val="style154"/>
        <w:tblW w:w="0" w:type="auto"/>
        <w:jc w:val="center"/>
        <w:tblLook w:val="04A0" w:firstRow="1" w:lastRow="0" w:firstColumn="1" w:lastColumn="0" w:noHBand="0" w:noVBand="1"/>
      </w:tblPr>
      <w:tblGrid>
        <w:gridCol w:w="5112"/>
        <w:gridCol w:w="5112"/>
      </w:tblGrid>
      <w:tr w14:paraId="8A9B2145">
        <w:trPr>
          <w:jc w:val="center"/>
        </w:trPr>
        <w:tc>
          <w:tcPr>
            <w:tcW w:w="5112" w:type="dxa"/>
            <w:tcBorders/>
            <w:shd w:val="nil" w:color="auto" w:fill="eaeaea"/>
          </w:tcPr>
          <w:p w14:paraId="8625A714">
            <w:pPr>
              <w:pStyle w:val="style0"/>
              <w:rPr/>
            </w:pPr>
            <w:r>
              <w:t>Cluster</w:t>
            </w:r>
          </w:p>
        </w:tc>
        <w:tc>
          <w:tcPr>
            <w:tcW w:w="5112" w:type="dxa"/>
            <w:tcBorders/>
            <w:shd w:val="nil" w:color="auto" w:fill="eaeaea"/>
          </w:tcPr>
          <w:p w14:paraId="758A6D76">
            <w:pPr>
              <w:pStyle w:val="style0"/>
              <w:rPr/>
            </w:pPr>
            <w:r>
              <w:t>Samples</w:t>
            </w:r>
          </w:p>
        </w:tc>
      </w:tr>
      <w:tr w14:paraId="871C70FE">
        <w:tblPrEx/>
        <w:trPr>
          <w:jc w:val="center"/>
        </w:trPr>
        <w:tc>
          <w:tcPr>
            <w:tcW w:w="5112" w:type="dxa"/>
            <w:tcBorders/>
          </w:tcPr>
          <w:p w14:paraId="ED73F7BF">
            <w:pPr>
              <w:pStyle w:val="style0"/>
              <w:rPr/>
            </w:pPr>
            <w:r>
              <w:t>0</w:t>
            </w:r>
          </w:p>
        </w:tc>
        <w:tc>
          <w:tcPr>
            <w:tcW w:w="5112" w:type="dxa"/>
            <w:tcBorders/>
          </w:tcPr>
          <w:p w14:paraId="EEA56ADF">
            <w:pPr>
              <w:pStyle w:val="style0"/>
              <w:rPr/>
            </w:pPr>
            <w:r>
              <w:t>65</w:t>
            </w:r>
          </w:p>
        </w:tc>
      </w:tr>
      <w:tr w14:paraId="2E6EBEE1">
        <w:tblPrEx/>
        <w:trPr>
          <w:jc w:val="center"/>
        </w:trPr>
        <w:tc>
          <w:tcPr>
            <w:tcW w:w="5112" w:type="dxa"/>
            <w:tcBorders/>
          </w:tcPr>
          <w:p w14:paraId="1D1289AB">
            <w:pPr>
              <w:pStyle w:val="style0"/>
              <w:rPr/>
            </w:pPr>
            <w:r>
              <w:t>1</w:t>
            </w:r>
          </w:p>
        </w:tc>
        <w:tc>
          <w:tcPr>
            <w:tcW w:w="5112" w:type="dxa"/>
            <w:tcBorders/>
          </w:tcPr>
          <w:p w14:paraId="60DEF53C">
            <w:pPr>
              <w:pStyle w:val="style0"/>
              <w:rPr/>
            </w:pPr>
            <w:r>
              <w:t>51</w:t>
            </w:r>
          </w:p>
        </w:tc>
      </w:tr>
      <w:tr w14:paraId="8BCF47AF">
        <w:tblPrEx/>
        <w:trPr>
          <w:jc w:val="center"/>
        </w:trPr>
        <w:tc>
          <w:tcPr>
            <w:tcW w:w="5112" w:type="dxa"/>
            <w:tcBorders/>
          </w:tcPr>
          <w:p w14:paraId="D7778009">
            <w:pPr>
              <w:pStyle w:val="style0"/>
              <w:rPr/>
            </w:pPr>
            <w:r>
              <w:t>2</w:t>
            </w:r>
          </w:p>
        </w:tc>
        <w:tc>
          <w:tcPr>
            <w:tcW w:w="5112" w:type="dxa"/>
            <w:tcBorders/>
          </w:tcPr>
          <w:p w14:paraId="F9577F04">
            <w:pPr>
              <w:pStyle w:val="style0"/>
              <w:rPr/>
            </w:pPr>
            <w:r>
              <w:t>62</w:t>
            </w:r>
          </w:p>
        </w:tc>
      </w:tr>
    </w:tbl>
    <w:p w14:paraId="814FE568">
      <w:pPr>
        <w:pStyle w:val="style0"/>
        <w:jc w:val="center"/>
        <w:rPr/>
      </w:pPr>
      <w:r>
        <w:rPr/>
        <w:drawing>
          <wp:inline distL="0" distT="0" distB="0" distR="0">
            <wp:extent cx="4572000" cy="2954215"/>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4572000" cy="2954215"/>
                    </a:xfrm>
                    <a:prstGeom prst="rect"/>
                  </pic:spPr>
                </pic:pic>
              </a:graphicData>
            </a:graphic>
          </wp:inline>
        </w:drawing>
      </w:r>
    </w:p>
    <w:p w14:paraId="4BD0AE91">
      <w:pPr>
        <w:pStyle w:val="style0"/>
        <w:jc w:val="center"/>
        <w:rPr/>
      </w:pPr>
      <w:r>
        <w:rPr>
          <w:i/>
        </w:rPr>
        <w:t>Figure 3. Final cluster sizes.</w:t>
      </w:r>
    </w:p>
    <w:p w14:paraId="5BD53178">
      <w:pPr>
        <w:pStyle w:val="style1"/>
        <w:rPr/>
      </w:pPr>
      <w:r>
        <w:t>6. Cluster Characteristics</w:t>
      </w:r>
    </w:p>
    <w:p w14:paraId="400A342E">
      <w:pPr>
        <w:pStyle w:val="style0"/>
        <w:rPr/>
      </w:pPr>
      <w:r>
        <w:t>Cluster means show clear chemical differences. Cluster 2 has the highest mean alcohol (13.68) and proline (1100.23). Cluster 0 has the lowest mean alcohol (12.25) and proline (510.17). Cluster 1 has the highest mean malic acid (3.31).</w:t>
      </w:r>
    </w:p>
    <w:tbl>
      <w:tblPr>
        <w:tblStyle w:val="style154"/>
        <w:tblW w:w="0" w:type="auto"/>
        <w:jc w:val="center"/>
        <w:tblLook w:val="04A0" w:firstRow="1" w:lastRow="0" w:firstColumn="1" w:lastColumn="0" w:noHBand="0" w:noVBand="1"/>
      </w:tblPr>
      <w:tblGrid>
        <w:gridCol w:w="2556"/>
        <w:gridCol w:w="2556"/>
        <w:gridCol w:w="2556"/>
        <w:gridCol w:w="2556"/>
      </w:tblGrid>
      <w:tr w14:paraId="7B6D250B">
        <w:trPr>
          <w:jc w:val="center"/>
        </w:trPr>
        <w:tc>
          <w:tcPr>
            <w:tcW w:w="2556" w:type="dxa"/>
            <w:tcBorders/>
            <w:shd w:val="nil" w:color="auto" w:fill="eaeaea"/>
          </w:tcPr>
          <w:p w14:paraId="367FC680">
            <w:pPr>
              <w:pStyle w:val="style0"/>
              <w:rPr/>
            </w:pPr>
            <w:r>
              <w:t>Cluster</w:t>
            </w:r>
          </w:p>
        </w:tc>
        <w:tc>
          <w:tcPr>
            <w:tcW w:w="2556" w:type="dxa"/>
            <w:tcBorders/>
            <w:shd w:val="nil" w:color="auto" w:fill="eaeaea"/>
          </w:tcPr>
          <w:p w14:paraId="4680801B">
            <w:pPr>
              <w:pStyle w:val="style0"/>
              <w:rPr/>
            </w:pPr>
            <w:r>
              <w:t>Alcohol</w:t>
            </w:r>
          </w:p>
        </w:tc>
        <w:tc>
          <w:tcPr>
            <w:tcW w:w="2556" w:type="dxa"/>
            <w:tcBorders/>
            <w:shd w:val="nil" w:color="auto" w:fill="eaeaea"/>
          </w:tcPr>
          <w:p w14:paraId="718528CF">
            <w:pPr>
              <w:pStyle w:val="style0"/>
              <w:rPr/>
            </w:pPr>
            <w:r>
              <w:t>Malic acid</w:t>
            </w:r>
          </w:p>
        </w:tc>
        <w:tc>
          <w:tcPr>
            <w:tcW w:w="2556" w:type="dxa"/>
            <w:tcBorders/>
            <w:shd w:val="nil" w:color="auto" w:fill="eaeaea"/>
          </w:tcPr>
          <w:p w14:paraId="BFF3D792">
            <w:pPr>
              <w:pStyle w:val="style0"/>
              <w:rPr/>
            </w:pPr>
            <w:r>
              <w:t>Proline</w:t>
            </w:r>
          </w:p>
        </w:tc>
      </w:tr>
      <w:tr w14:paraId="13D284A8">
        <w:tblPrEx/>
        <w:trPr>
          <w:jc w:val="center"/>
        </w:trPr>
        <w:tc>
          <w:tcPr>
            <w:tcW w:w="2556" w:type="dxa"/>
            <w:tcBorders/>
          </w:tcPr>
          <w:p w14:paraId="9108F704">
            <w:pPr>
              <w:pStyle w:val="style0"/>
              <w:rPr/>
            </w:pPr>
            <w:r>
              <w:t>0</w:t>
            </w:r>
          </w:p>
        </w:tc>
        <w:tc>
          <w:tcPr>
            <w:tcW w:w="2556" w:type="dxa"/>
            <w:tcBorders/>
          </w:tcPr>
          <w:p w14:paraId="E189A3B9">
            <w:pPr>
              <w:pStyle w:val="style0"/>
              <w:rPr/>
            </w:pPr>
            <w:r>
              <w:t>12.25</w:t>
            </w:r>
          </w:p>
        </w:tc>
        <w:tc>
          <w:tcPr>
            <w:tcW w:w="2556" w:type="dxa"/>
            <w:tcBorders/>
          </w:tcPr>
          <w:p w14:paraId="BD5CB86E">
            <w:pPr>
              <w:pStyle w:val="style0"/>
              <w:rPr/>
            </w:pPr>
            <w:r>
              <w:t>1.9</w:t>
            </w:r>
          </w:p>
        </w:tc>
        <w:tc>
          <w:tcPr>
            <w:tcW w:w="2556" w:type="dxa"/>
            <w:tcBorders/>
          </w:tcPr>
          <w:p w14:paraId="5A027D91">
            <w:pPr>
              <w:pStyle w:val="style0"/>
              <w:rPr/>
            </w:pPr>
            <w:r>
              <w:t>510.17</w:t>
            </w:r>
          </w:p>
        </w:tc>
      </w:tr>
      <w:tr w14:paraId="812F9844">
        <w:tblPrEx/>
        <w:trPr>
          <w:jc w:val="center"/>
        </w:trPr>
        <w:tc>
          <w:tcPr>
            <w:tcW w:w="2556" w:type="dxa"/>
            <w:tcBorders/>
          </w:tcPr>
          <w:p w14:paraId="B5B81B53">
            <w:pPr>
              <w:pStyle w:val="style0"/>
              <w:rPr/>
            </w:pPr>
            <w:r>
              <w:t>1</w:t>
            </w:r>
          </w:p>
        </w:tc>
        <w:tc>
          <w:tcPr>
            <w:tcW w:w="2556" w:type="dxa"/>
            <w:tcBorders/>
          </w:tcPr>
          <w:p w14:paraId="AE4E10CD">
            <w:pPr>
              <w:pStyle w:val="style0"/>
              <w:rPr/>
            </w:pPr>
            <w:r>
              <w:t>13.13</w:t>
            </w:r>
          </w:p>
        </w:tc>
        <w:tc>
          <w:tcPr>
            <w:tcW w:w="2556" w:type="dxa"/>
            <w:tcBorders/>
          </w:tcPr>
          <w:p w14:paraId="929256D4">
            <w:pPr>
              <w:pStyle w:val="style0"/>
              <w:rPr/>
            </w:pPr>
            <w:r>
              <w:t>3.31</w:t>
            </w:r>
          </w:p>
        </w:tc>
        <w:tc>
          <w:tcPr>
            <w:tcW w:w="2556" w:type="dxa"/>
            <w:tcBorders/>
          </w:tcPr>
          <w:p w14:paraId="B681E76C">
            <w:pPr>
              <w:pStyle w:val="style0"/>
              <w:rPr/>
            </w:pPr>
            <w:r>
              <w:t>619.06</w:t>
            </w:r>
          </w:p>
        </w:tc>
      </w:tr>
      <w:tr w14:paraId="B497D3CB">
        <w:tblPrEx/>
        <w:trPr>
          <w:jc w:val="center"/>
        </w:trPr>
        <w:tc>
          <w:tcPr>
            <w:tcW w:w="2556" w:type="dxa"/>
            <w:tcBorders/>
          </w:tcPr>
          <w:p w14:paraId="9788772A">
            <w:pPr>
              <w:pStyle w:val="style0"/>
              <w:rPr/>
            </w:pPr>
            <w:r>
              <w:t>2</w:t>
            </w:r>
          </w:p>
        </w:tc>
        <w:tc>
          <w:tcPr>
            <w:tcW w:w="2556" w:type="dxa"/>
            <w:tcBorders/>
          </w:tcPr>
          <w:p w14:paraId="40D707EE">
            <w:pPr>
              <w:pStyle w:val="style0"/>
              <w:rPr/>
            </w:pPr>
            <w:r>
              <w:t>13.68</w:t>
            </w:r>
          </w:p>
        </w:tc>
        <w:tc>
          <w:tcPr>
            <w:tcW w:w="2556" w:type="dxa"/>
            <w:tcBorders/>
          </w:tcPr>
          <w:p w14:paraId="75B8BA2A">
            <w:pPr>
              <w:pStyle w:val="style0"/>
              <w:rPr/>
            </w:pPr>
            <w:r>
              <w:t>2.0</w:t>
            </w:r>
          </w:p>
        </w:tc>
        <w:tc>
          <w:tcPr>
            <w:tcW w:w="2556" w:type="dxa"/>
            <w:tcBorders/>
          </w:tcPr>
          <w:p w14:paraId="086AC7CA">
            <w:pPr>
              <w:pStyle w:val="style0"/>
              <w:rPr/>
            </w:pPr>
            <w:r>
              <w:t>1100.23</w:t>
            </w:r>
          </w:p>
        </w:tc>
      </w:tr>
    </w:tbl>
    <w:p w14:paraId="AB445704">
      <w:pPr>
        <w:pStyle w:val="style1"/>
        <w:rPr/>
      </w:pPr>
      <w:r>
        <w:t>7. PCA Visualization</w:t>
      </w:r>
    </w:p>
    <w:p w14:paraId="3336F85A">
      <w:pPr>
        <w:pStyle w:val="style0"/>
        <w:rPr/>
      </w:pPr>
      <w:r>
        <w:t>PCA was used only to visualize the 13-dimensional standardized data in two dimensions. PC1 explains 36.20% and PC2 explains 19.21%, giving 55.41% combined variance.</w:t>
      </w:r>
    </w:p>
    <w:p w14:paraId="A59A5916">
      <w:pPr>
        <w:pStyle w:val="style0"/>
        <w:jc w:val="center"/>
        <w:rPr/>
      </w:pPr>
      <w:r>
        <w:rPr/>
        <w:drawing>
          <wp:inline distL="0" distT="0" distB="0" distR="0">
            <wp:extent cx="5029200" cy="3233057"/>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029200" cy="3233057"/>
                    </a:xfrm>
                    <a:prstGeom prst="rect"/>
                  </pic:spPr>
                </pic:pic>
              </a:graphicData>
            </a:graphic>
          </wp:inline>
        </w:drawing>
      </w:r>
    </w:p>
    <w:p w14:paraId="EEB1E00C">
      <w:pPr>
        <w:pStyle w:val="style0"/>
        <w:jc w:val="center"/>
        <w:rPr/>
      </w:pPr>
      <w:r>
        <w:rPr>
          <w:i/>
        </w:rPr>
        <w:t>Figure 4. K-Means clusters shown in the first two PCA components.</w:t>
      </w:r>
    </w:p>
    <w:p w14:paraId="77D86396">
      <w:pPr>
        <w:pStyle w:val="style1"/>
        <w:rPr/>
      </w:pPr>
      <w:r>
        <w:t>8. Comparison with Original Classes</w:t>
      </w:r>
    </w:p>
    <w:p w14:paraId="C67BD9E0">
      <w:pPr>
        <w:pStyle w:val="style0"/>
        <w:rPr/>
      </w:pPr>
      <w:r>
        <w:t>The original target labels were not used during clustering. They were compared afterward to assess how the unsupervised groups relate to the known classes.</w:t>
      </w:r>
    </w:p>
    <w:tbl>
      <w:tblPr>
        <w:tblStyle w:val="style154"/>
        <w:tblW w:w="0" w:type="auto"/>
        <w:jc w:val="center"/>
        <w:tblLook w:val="04A0" w:firstRow="1" w:lastRow="0" w:firstColumn="1" w:lastColumn="0" w:noHBand="0" w:noVBand="1"/>
      </w:tblPr>
      <w:tblGrid>
        <w:gridCol w:w="2556"/>
        <w:gridCol w:w="2556"/>
        <w:gridCol w:w="2556"/>
        <w:gridCol w:w="2556"/>
      </w:tblGrid>
      <w:tr w14:paraId="CEEC368F">
        <w:trPr>
          <w:jc w:val="center"/>
        </w:trPr>
        <w:tc>
          <w:tcPr>
            <w:tcW w:w="2556" w:type="dxa"/>
            <w:tcBorders/>
          </w:tcPr>
          <w:p w14:paraId="7F725EE5">
            <w:pPr>
              <w:pStyle w:val="style0"/>
              <w:rPr/>
            </w:pPr>
            <w:r>
              <w:t>Cluster</w:t>
            </w:r>
          </w:p>
        </w:tc>
        <w:tc>
          <w:tcPr>
            <w:tcW w:w="2556" w:type="dxa"/>
            <w:tcBorders/>
          </w:tcPr>
          <w:p w14:paraId="9D058E94">
            <w:pPr>
              <w:pStyle w:val="style0"/>
              <w:rPr/>
            </w:pPr>
            <w:r>
              <w:t>Class 0</w:t>
            </w:r>
          </w:p>
        </w:tc>
        <w:tc>
          <w:tcPr>
            <w:tcW w:w="2556" w:type="dxa"/>
            <w:tcBorders/>
          </w:tcPr>
          <w:p w14:paraId="F5C04BA8">
            <w:pPr>
              <w:pStyle w:val="style0"/>
              <w:rPr/>
            </w:pPr>
            <w:r>
              <w:t>Class 1</w:t>
            </w:r>
          </w:p>
        </w:tc>
        <w:tc>
          <w:tcPr>
            <w:tcW w:w="2556" w:type="dxa"/>
            <w:tcBorders/>
          </w:tcPr>
          <w:p w14:paraId="3B69CAB8">
            <w:pPr>
              <w:pStyle w:val="style0"/>
              <w:rPr/>
            </w:pPr>
            <w:r>
              <w:t>Class 2</w:t>
            </w:r>
          </w:p>
        </w:tc>
      </w:tr>
      <w:tr w14:paraId="3B698CEF">
        <w:tblPrEx/>
        <w:trPr>
          <w:jc w:val="center"/>
        </w:trPr>
        <w:tc>
          <w:tcPr>
            <w:tcW w:w="2556" w:type="dxa"/>
            <w:tcBorders/>
          </w:tcPr>
          <w:p w14:paraId="39AF7B87">
            <w:pPr>
              <w:pStyle w:val="style0"/>
              <w:rPr/>
            </w:pPr>
            <w:r>
              <w:t>Cluster 0</w:t>
            </w:r>
          </w:p>
        </w:tc>
        <w:tc>
          <w:tcPr>
            <w:tcW w:w="2556" w:type="dxa"/>
            <w:tcBorders/>
          </w:tcPr>
          <w:p w14:paraId="D4652F6E">
            <w:pPr>
              <w:pStyle w:val="style0"/>
              <w:rPr/>
            </w:pPr>
            <w:r>
              <w:t>0</w:t>
            </w:r>
          </w:p>
        </w:tc>
        <w:tc>
          <w:tcPr>
            <w:tcW w:w="2556" w:type="dxa"/>
            <w:tcBorders/>
          </w:tcPr>
          <w:p w14:paraId="4A4D7295">
            <w:pPr>
              <w:pStyle w:val="style0"/>
              <w:rPr/>
            </w:pPr>
            <w:r>
              <w:t>65</w:t>
            </w:r>
          </w:p>
        </w:tc>
        <w:tc>
          <w:tcPr>
            <w:tcW w:w="2556" w:type="dxa"/>
            <w:tcBorders/>
          </w:tcPr>
          <w:p w14:paraId="7688C983">
            <w:pPr>
              <w:pStyle w:val="style0"/>
              <w:rPr/>
            </w:pPr>
            <w:r>
              <w:t>0</w:t>
            </w:r>
          </w:p>
        </w:tc>
      </w:tr>
      <w:tr w14:paraId="78499C26">
        <w:tblPrEx/>
        <w:trPr>
          <w:jc w:val="center"/>
        </w:trPr>
        <w:tc>
          <w:tcPr>
            <w:tcW w:w="2556" w:type="dxa"/>
            <w:tcBorders/>
          </w:tcPr>
          <w:p w14:paraId="95A8F266">
            <w:pPr>
              <w:pStyle w:val="style0"/>
              <w:rPr/>
            </w:pPr>
            <w:r>
              <w:t>Cluster 1</w:t>
            </w:r>
          </w:p>
        </w:tc>
        <w:tc>
          <w:tcPr>
            <w:tcW w:w="2556" w:type="dxa"/>
            <w:tcBorders/>
          </w:tcPr>
          <w:p w14:paraId="ADBA60CE">
            <w:pPr>
              <w:pStyle w:val="style0"/>
              <w:rPr/>
            </w:pPr>
            <w:r>
              <w:t>0</w:t>
            </w:r>
          </w:p>
        </w:tc>
        <w:tc>
          <w:tcPr>
            <w:tcW w:w="2556" w:type="dxa"/>
            <w:tcBorders/>
          </w:tcPr>
          <w:p w14:paraId="2861031D">
            <w:pPr>
              <w:pStyle w:val="style0"/>
              <w:rPr/>
            </w:pPr>
            <w:r>
              <w:t>3</w:t>
            </w:r>
          </w:p>
        </w:tc>
        <w:tc>
          <w:tcPr>
            <w:tcW w:w="2556" w:type="dxa"/>
            <w:tcBorders/>
          </w:tcPr>
          <w:p w14:paraId="4B35A680">
            <w:pPr>
              <w:pStyle w:val="style0"/>
              <w:rPr/>
            </w:pPr>
            <w:r>
              <w:t>48</w:t>
            </w:r>
          </w:p>
        </w:tc>
      </w:tr>
      <w:tr w14:paraId="A3E45468">
        <w:tblPrEx/>
        <w:trPr>
          <w:jc w:val="center"/>
        </w:trPr>
        <w:tc>
          <w:tcPr>
            <w:tcW w:w="2556" w:type="dxa"/>
            <w:tcBorders/>
          </w:tcPr>
          <w:p w14:paraId="84F82EE8">
            <w:pPr>
              <w:pStyle w:val="style0"/>
              <w:rPr/>
            </w:pPr>
            <w:r>
              <w:t>Cluster 2</w:t>
            </w:r>
          </w:p>
        </w:tc>
        <w:tc>
          <w:tcPr>
            <w:tcW w:w="2556" w:type="dxa"/>
            <w:tcBorders/>
          </w:tcPr>
          <w:p w14:paraId="B5C681FD">
            <w:pPr>
              <w:pStyle w:val="style0"/>
              <w:rPr/>
            </w:pPr>
            <w:r>
              <w:t>59</w:t>
            </w:r>
          </w:p>
        </w:tc>
        <w:tc>
          <w:tcPr>
            <w:tcW w:w="2556" w:type="dxa"/>
            <w:tcBorders/>
          </w:tcPr>
          <w:p w14:paraId="0118C67A">
            <w:pPr>
              <w:pStyle w:val="style0"/>
              <w:rPr/>
            </w:pPr>
            <w:r>
              <w:t>3</w:t>
            </w:r>
          </w:p>
        </w:tc>
        <w:tc>
          <w:tcPr>
            <w:tcW w:w="2556" w:type="dxa"/>
            <w:tcBorders/>
          </w:tcPr>
          <w:p w14:paraId="D4EA5021">
            <w:pPr>
              <w:pStyle w:val="style0"/>
              <w:rPr/>
            </w:pPr>
            <w:r>
              <w:t>0</w:t>
            </w:r>
          </w:p>
        </w:tc>
      </w:tr>
    </w:tbl>
    <w:p w14:paraId="CBADD31E">
      <w:pPr>
        <w:pStyle w:val="style0"/>
        <w:rPr/>
      </w:pPr>
      <w:r>
        <w:t>Cluster 0 contains all 65 samples assigned to it from Class 1. Cluster 1 contains 48 samples from Class 2 and 3 from Class 1. Cluster 2 contains 59 samples from Class 0 and 3 from Class 1. This shows that K-Means recovered substantial structure corresponding to the original wine classes, although some Class 1 samples overlap with the other groups.</w:t>
      </w:r>
    </w:p>
    <w:p w14:paraId="2E5AD736">
      <w:pPr>
        <w:pStyle w:val="style1"/>
        <w:rPr/>
      </w:pPr>
      <w:r>
        <w:t>9. Interpretation and Limitations</w:t>
      </w:r>
    </w:p>
    <w:p w14:paraId="A488D257">
      <w:pPr>
        <w:pStyle w:val="style0"/>
        <w:rPr/>
      </w:pPr>
      <w:r>
        <w:t>The clustering suggests that chemical measurements can naturally separate the wine samples into three broad groups. Standardization was important because the features have different scales. The silhouette score of 0.2849 indicates only moderate separation, so the clusters should not be treated as perfectly distinct. K-Means also assumes cluster shapes that may not capture every structure in the data.</w:t>
      </w:r>
    </w:p>
    <w:p w14:paraId="6916F328">
      <w:pPr>
        <w:pStyle w:val="style1"/>
        <w:rPr/>
      </w:pPr>
      <w:r>
        <w:t>10. Conclusion</w:t>
      </w:r>
    </w:p>
    <w:p w14:paraId="14187431">
      <w:pPr>
        <w:pStyle w:val="style0"/>
        <w:rPr/>
      </w:pPr>
      <w:r>
        <w:t>K-Means clustering was successfully applied to the 13 standardized chemical features. K=3 was selected using the highest silhouette score and supported by the elbow method. The resulting clusters show meaningful differences in chemical properties and substantial agreement with the original wine classes, demonstrating how unsupervised learning can reveal structure without using class labels during model fitting.</w:t>
      </w:r>
    </w:p>
    <w:sectPr>
      <w:pgSz w:w="12240" w:h="15840" w:orient="portrait"/>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19"/>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41b38f8-eb20-4e91-8a31-f503ffc1ccf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37d24e4-4723-45e3-a151-c917f759a976"/>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0cdd06a8-db10-443d-a088-d7b55984824a"/>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878c4b83-1116-4e2f-a96f-7ef5da41c55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1343559-f99f-404e-9667-50ba02adb44f"/>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d93088e0-3216-4562-a41f-1011a26628e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185c795-31a5-4f32-9fb0-45b97a668166"/>
    <w:basedOn w:val="style65"/>
    <w:next w:val="style4108"/>
    <w:link w:val="style180"/>
    <w:uiPriority w:val="29"/>
    <w:rPr>
      <w:i/>
      <w:iCs/>
      <w:color w:val="000000"/>
    </w:rPr>
  </w:style>
  <w:style w:type="character" w:customStyle="1" w:styleId="style4109">
    <w:name w:val="Heading 4 Char_3cf816f2-a5e9-4c94-b609-4b81cfc79843"/>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afe89d90-9a00-4d8c-bf83-a6d5ec06d9ef"/>
    <w:basedOn w:val="style65"/>
    <w:next w:val="style4110"/>
    <w:link w:val="style5"/>
    <w:uiPriority w:val="9"/>
    <w:rPr>
      <w:rFonts w:ascii="Calibri" w:cs="宋体" w:eastAsia="ＭＳ ゴシック" w:hAnsi="Calibri"/>
      <w:color w:val="243f60"/>
    </w:rPr>
  </w:style>
  <w:style w:type="character" w:customStyle="1" w:styleId="style4111">
    <w:name w:val="Heading 6 Char_f75ac908-3f78-4d7d-94dd-315808f87357"/>
    <w:basedOn w:val="style65"/>
    <w:next w:val="style4111"/>
    <w:link w:val="style6"/>
    <w:uiPriority w:val="9"/>
    <w:rPr>
      <w:rFonts w:ascii="Calibri" w:cs="宋体" w:eastAsia="ＭＳ ゴシック" w:hAnsi="Calibri"/>
      <w:i/>
      <w:iCs/>
      <w:color w:val="243f60"/>
    </w:rPr>
  </w:style>
  <w:style w:type="character" w:customStyle="1" w:styleId="style4112">
    <w:name w:val="Heading 7 Char_ee78c496-a16f-4c34-aa43-f2ebfa19a12e"/>
    <w:basedOn w:val="style65"/>
    <w:next w:val="style4112"/>
    <w:link w:val="style7"/>
    <w:uiPriority w:val="9"/>
    <w:rPr>
      <w:rFonts w:ascii="Calibri" w:cs="宋体" w:eastAsia="ＭＳ ゴシック" w:hAnsi="Calibri"/>
      <w:i/>
      <w:iCs/>
      <w:color w:val="404040"/>
    </w:rPr>
  </w:style>
  <w:style w:type="character" w:customStyle="1" w:styleId="style4113">
    <w:name w:val="Heading 8 Char_0e8affe7-b295-45ce-9be8-162c1daa4e0e"/>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e07e3d94-b47c-4478-9c45-cbb4b373f13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b32abfb-6aa9-42e4-aa7b-0c070af3eda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551</Words>
  <Pages>1</Pages>
  <Characters>3067</Characters>
  <Application>WPS Office</Application>
  <DocSecurity>0</DocSecurity>
  <Paragraphs>86</Paragraphs>
  <ScaleCrop>false</ScaleCrop>
  <LinksUpToDate>false</LinksUpToDate>
  <CharactersWithSpaces>3549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motorola edge 50 neo</lastModifiedBy>
  <dcterms:modified xsi:type="dcterms:W3CDTF">2026-09-04T17:21:31Z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7f36c88e34824aaf8394983b41fe4f6a_23</vt:lpwstr>
  </property>
</Properties>
</file>