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F2027"/>
          <w:sz w:val="56"/>
        </w:rPr>
        <w:t>LEVIATHAN ULTRA-QUANT AGENT</w:t>
      </w:r>
    </w:p>
    <w:p>
      <w:pPr>
        <w:jc w:val="center"/>
      </w:pPr>
      <w:r>
        <w:rPr>
          <w:b/>
          <w:color w:val="D4AF37"/>
          <w:sz w:val="40"/>
        </w:rPr>
        <w:t>System Prompt v4.5 Refinements</w:t>
      </w:r>
    </w:p>
    <w:p>
      <w:pPr>
        <w:jc w:val="center"/>
      </w:pPr>
      <w:r>
        <w:rPr>
          <w:i/>
          <w:color w:val="506070"/>
          <w:sz w:val="24"/>
        </w:rPr>
        <w:t>Post-Deployment Feedback Integration &amp; Optimization Specification</w:t>
      </w:r>
    </w:p>
    <w:p>
      <w:pPr>
        <w:spacing w:before="800"/>
        <w:jc w:val="center"/>
      </w:pPr>
      <w:r>
        <w:rPr>
          <w:sz w:val="22"/>
        </w:rPr>
        <w:t>Based on: May 4-8, 2026 DXY Live Deployment After-Action Review</w:t>
      </w:r>
    </w:p>
    <w:p>
      <w:pPr>
        <w:jc w:val="center"/>
      </w:pPr>
      <w:r>
        <w:rPr>
          <w:color w:val="D4AF37"/>
          <w:sz w:val="22"/>
        </w:rPr>
        <w:t>Overall Grade: A- (IP Zone Mapping: A/A- | Macro Shape Analysis: B/B+)</w:t>
      </w:r>
    </w:p>
    <w:p>
      <w:pPr>
        <w:spacing w:before="600"/>
        <w:jc w:val="center"/>
      </w:pPr>
      <w:r>
        <w:rPr>
          <w:color w:val="8090A0"/>
          <w:sz w:val="18"/>
        </w:rPr>
        <w:t>Version: v4.5-draft | Date: 2026-05-25 | Classification: PROPRIETARY</w:t>
      </w:r>
    </w:p>
    <w:p>
      <w:r>
        <w:br w:type="page"/>
      </w:r>
    </w:p>
    <w:p>
      <w:pPr>
        <w:pStyle w:val="Heading1"/>
      </w:pPr>
      <w:r>
        <w:t>Executive Summary</w:t>
      </w:r>
    </w:p>
    <w:p>
      <w:r>
        <w:rPr>
          <w:b w:val="0"/>
          <w:i w:val="0"/>
        </w:rPr>
        <w:t>The v4.4 system prompt was deployed live for the DXY trading week of May 4-8, 2026. The after-action review revealed that IP zone mapping achieved A/A- accuracy, with the "BREAKOUT RISK: MID-RANGE SUPPORT (97.80-98.00) - Failure Probability: 30%" call being hyper-accurate, predicting the exact 4H BoM Demand Zone OB that started Thursday's breakout surge with only 0.02 DXY points of deviation from the actual level. However, the trade structure extraction layer suffered from three systematic deficiencies: imprecise entry/exit level selection, single-entry trade construction instead of scaled entries, and disconnected trade flow where the TP of the short did not flow into the entry of the long. Additionally, the macro shape analysis on the 30m timeframe introduced noise that was eliminated on the 1H timeframe. These refinements aim to close the gap between A- zone mapping and A+ trade execution, targeting a minimum 5x RRR standard and precise trade flow continuity.</w:t>
      </w:r>
    </w:p>
    <w:p>
      <w:r>
        <w:rPr>
          <w:b w:val="0"/>
          <w:i w:val="0"/>
        </w:rPr>
        <w:t>This document catalogues every piece of feedback, maps each to a specific section of the v4.4 prompt, proposes the exact change with before/after comparisons, and prioritizes by impact on trading performance. The goal is optimization, not overhaul. The core 9-pillar 6D engine and macro shape taxonomy are fundamentally sound. The refinements target the translation layer between zone identification and tradeable execution.</w:t>
      </w:r>
    </w:p>
    <w:p>
      <w:pPr>
        <w:spacing w:before="40" w:after="40"/>
        <w:pBdr>
          <w:bottom w:val="single" w:sz="6" w:space="1" w:color="D4AF37"/>
        </w:pBdr>
      </w:pPr>
    </w:p>
    <w:p>
      <w:pPr>
        <w:pStyle w:val="Heading1"/>
      </w:pPr>
      <w:r>
        <w:t>Feedback Catalogue &amp; Root Cause Analysis</w:t>
      </w:r>
    </w:p>
    <w:p>
      <w:pPr>
        <w:pStyle w:val="Heading2"/>
      </w:pPr>
      <w:r>
        <w:t>Category 1: Entry/Exit Level Precision (CRITICAL)</w:t>
      </w:r>
    </w:p>
    <w:p>
      <w:r>
        <w:rPr>
          <w:b/>
          <w:i w:val="0"/>
        </w:rPr>
        <w:t>The most impactful deficiency in the v4.4 output. Entry and exit levels were placed at "approximate" zone centers rather than at structurally precise points. This single issue cut RRR from potential 10x to actual 2x on the long side.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Issue</w:t>
            </w:r>
          </w:p>
        </w:tc>
        <w:tc>
          <w:tcPr>
            <w:tcW w:type="dxa" w:w="1728"/>
          </w:tcPr>
          <w:p>
            <w:r>
              <w:rPr>
                <w:b/>
                <w:sz w:val="18"/>
              </w:rPr>
              <w:t>v4.4 Output</w:t>
            </w:r>
          </w:p>
        </w:tc>
        <w:tc>
          <w:tcPr>
            <w:tcW w:type="dxa" w:w="1728"/>
          </w:tcPr>
          <w:p>
            <w:r>
              <w:rPr>
                <w:b/>
                <w:sz w:val="18"/>
              </w:rPr>
              <w:t>Correct Level</w:t>
            </w:r>
          </w:p>
        </w:tc>
        <w:tc>
          <w:tcPr>
            <w:tcW w:type="dxa" w:w="1728"/>
          </w:tcPr>
          <w:p>
            <w:r>
              <w:rPr>
                <w:b/>
                <w:sz w:val="18"/>
              </w:rPr>
              <w:t>Root Cause</w:t>
            </w:r>
          </w:p>
        </w:tc>
        <w:tc>
          <w:tcPr>
            <w:tcW w:type="dxa" w:w="1728"/>
          </w:tcPr>
          <w:p>
            <w:r>
              <w:rPr>
                <w:b/>
                <w:sz w:val="18"/>
              </w:rPr>
              <w:t>Impact</w:t>
            </w:r>
          </w:p>
        </w:tc>
      </w:tr>
      <w:tr>
        <w:tc>
          <w:tcPr>
            <w:tcW w:type="dxa" w:w="1728"/>
          </w:tcPr>
          <w:p>
            <w:r>
              <w:rPr>
                <w:sz w:val="18"/>
              </w:rPr>
              <w:t>Long Entry</w:t>
            </w:r>
          </w:p>
        </w:tc>
        <w:tc>
          <w:tcPr>
            <w:tcW w:type="dxa" w:w="1728"/>
          </w:tcPr>
          <w:p>
            <w:r>
              <w:rPr>
                <w:sz w:val="18"/>
              </w:rPr>
              <w:t>97.85 (not a key level)</w:t>
            </w:r>
          </w:p>
        </w:tc>
        <w:tc>
          <w:tcPr>
            <w:tcW w:type="dxa" w:w="1728"/>
          </w:tcPr>
          <w:p>
            <w:r>
              <w:rPr>
                <w:sz w:val="18"/>
              </w:rPr>
              <w:t>97.82 (zone edge already identified) or 97.65 (1H Demand zone from Wed)</w:t>
            </w:r>
          </w:p>
        </w:tc>
        <w:tc>
          <w:tcPr>
            <w:tcW w:type="dxa" w:w="1728"/>
          </w:tcPr>
          <w:p>
            <w:r>
              <w:rPr>
                <w:sz w:val="18"/>
              </w:rPr>
              <w:t>Entry placed at zone interior rather than zone edge or structural anchor</w:t>
            </w:r>
          </w:p>
        </w:tc>
        <w:tc>
          <w:tcPr>
            <w:tcW w:type="dxa" w:w="1728"/>
          </w:tcPr>
          <w:p>
            <w:r>
              <w:rPr>
                <w:sz w:val="18"/>
              </w:rPr>
              <w:t>RRR halved</w:t>
            </w:r>
          </w:p>
        </w:tc>
      </w:tr>
      <w:tr>
        <w:tc>
          <w:tcPr>
            <w:tcW w:type="dxa" w:w="1728"/>
          </w:tcPr>
          <w:p>
            <w:r>
              <w:rPr>
                <w:sz w:val="18"/>
              </w:rPr>
              <w:t>Long SL</w:t>
            </w:r>
          </w:p>
        </w:tc>
        <w:tc>
          <w:tcPr>
            <w:tcW w:type="dxa" w:w="1728"/>
          </w:tcPr>
          <w:p>
            <w:r>
              <w:rPr>
                <w:sz w:val="18"/>
              </w:rPr>
              <w:t>97.65 (too wide)</w:t>
            </w:r>
          </w:p>
        </w:tc>
        <w:tc>
          <w:tcPr>
            <w:tcW w:type="dxa" w:w="1728"/>
          </w:tcPr>
          <w:p>
            <w:r>
              <w:rPr>
                <w:sz w:val="18"/>
              </w:rPr>
              <w:t>97.72 (inside 1H Demand zone formed Wednesday)</w:t>
            </w:r>
          </w:p>
        </w:tc>
        <w:tc>
          <w:tcPr>
            <w:tcW w:type="dxa" w:w="1728"/>
          </w:tcPr>
          <w:p>
            <w:r>
              <w:rPr>
                <w:sz w:val="18"/>
              </w:rPr>
              <w:t>SL anchored to distant level instead of nearest valid structural zone</w:t>
            </w:r>
          </w:p>
        </w:tc>
        <w:tc>
          <w:tcPr>
            <w:tcW w:type="dxa" w:w="1728"/>
          </w:tcPr>
          <w:p>
            <w:r>
              <w:rPr>
                <w:sz w:val="18"/>
              </w:rPr>
              <w:t>RRR halved</w:t>
            </w:r>
          </w:p>
        </w:tc>
      </w:tr>
      <w:tr>
        <w:tc>
          <w:tcPr>
            <w:tcW w:type="dxa" w:w="1728"/>
          </w:tcPr>
          <w:p>
            <w:r>
              <w:rPr>
                <w:sz w:val="18"/>
              </w:rPr>
              <w:t>Long TP</w:t>
            </w:r>
          </w:p>
        </w:tc>
        <w:tc>
          <w:tcPr>
            <w:tcW w:type="dxa" w:w="1728"/>
          </w:tcPr>
          <w:p>
            <w:r>
              <w:rPr>
                <w:sz w:val="18"/>
              </w:rPr>
              <w:t>Overshot by 0.02</w:t>
            </w:r>
          </w:p>
        </w:tc>
        <w:tc>
          <w:tcPr>
            <w:tcW w:type="dxa" w:w="1728"/>
          </w:tcPr>
          <w:p>
            <w:r>
              <w:rPr>
                <w:sz w:val="18"/>
              </w:rPr>
              <w:t>98.245 (previously unidentified level price reacted to)</w:t>
            </w:r>
          </w:p>
        </w:tc>
        <w:tc>
          <w:tcPr>
            <w:tcW w:type="dxa" w:w="1728"/>
          </w:tcPr>
          <w:p>
            <w:r>
              <w:rPr>
                <w:sz w:val="18"/>
              </w:rPr>
              <w:t>TP set at measured-move projection without cross-referencing actual reaction levels</w:t>
            </w:r>
          </w:p>
        </w:tc>
        <w:tc>
          <w:tcPr>
            <w:tcW w:type="dxa" w:w="1728"/>
          </w:tcPr>
          <w:p>
            <w:r>
              <w:rPr>
                <w:sz w:val="18"/>
              </w:rPr>
              <w:t>Reversal risk on TP</w:t>
            </w:r>
          </w:p>
        </w:tc>
      </w:tr>
      <w:tr>
        <w:tc>
          <w:tcPr>
            <w:tcW w:type="dxa" w:w="1728"/>
          </w:tcPr>
          <w:p>
            <w:r>
              <w:rPr>
                <w:sz w:val="18"/>
              </w:rPr>
              <w:t>Short Entry #1</w:t>
            </w:r>
          </w:p>
        </w:tc>
        <w:tc>
          <w:tcPr>
            <w:tcW w:type="dxa" w:w="1728"/>
          </w:tcPr>
          <w:p>
            <w:r>
              <w:rPr>
                <w:sz w:val="18"/>
              </w:rPr>
              <w:t>98.50 (correct)</w:t>
            </w:r>
          </w:p>
        </w:tc>
        <w:tc>
          <w:tcPr>
            <w:tcW w:type="dxa" w:w="1728"/>
          </w:tcPr>
          <w:p>
            <w:r>
              <w:rPr>
                <w:sz w:val="18"/>
              </w:rPr>
              <w:t>98.50 (correct)</w:t>
            </w:r>
          </w:p>
        </w:tc>
        <w:tc>
          <w:tcPr>
            <w:tcW w:type="dxa" w:w="1728"/>
          </w:tcPr>
          <w:p>
            <w:r>
              <w:rPr>
                <w:sz w:val="18"/>
              </w:rPr>
              <w:t>N/A</w:t>
            </w:r>
          </w:p>
        </w:tc>
        <w:tc>
          <w:tcPr>
            <w:tcW w:type="dxa" w:w="1728"/>
          </w:tcPr>
          <w:p>
            <w:r>
              <w:rPr>
                <w:sz w:val="18"/>
              </w:rPr>
              <w:t>Good call</w:t>
            </w:r>
          </w:p>
        </w:tc>
      </w:tr>
      <w:tr>
        <w:tc>
          <w:tcPr>
            <w:tcW w:type="dxa" w:w="1728"/>
          </w:tcPr>
          <w:p>
            <w:r>
              <w:rPr>
                <w:sz w:val="18"/>
              </w:rPr>
              <w:t>Short Entry #2</w:t>
            </w:r>
          </w:p>
        </w:tc>
        <w:tc>
          <w:tcPr>
            <w:tcW w:type="dxa" w:w="1728"/>
          </w:tcPr>
          <w:p>
            <w:r>
              <w:rPr>
                <w:sz w:val="18"/>
              </w:rPr>
              <w:t>MISSING</w:t>
            </w:r>
          </w:p>
        </w:tc>
        <w:tc>
          <w:tcPr>
            <w:tcW w:type="dxa" w:w="1728"/>
          </w:tcPr>
          <w:p>
            <w:r>
              <w:rPr>
                <w:sz w:val="18"/>
              </w:rPr>
              <w:t>98.55 (should have been identified as 2nd entry)</w:t>
            </w:r>
          </w:p>
        </w:tc>
        <w:tc>
          <w:tcPr>
            <w:tcW w:type="dxa" w:w="1728"/>
          </w:tcPr>
          <w:p>
            <w:r>
              <w:rPr>
                <w:sz w:val="18"/>
              </w:rPr>
              <w:t>Single-entry construction; no scaled entry protocol</w:t>
            </w:r>
          </w:p>
        </w:tc>
        <w:tc>
          <w:tcPr>
            <w:tcW w:type="dxa" w:w="1728"/>
          </w:tcPr>
          <w:p>
            <w:r>
              <w:rPr>
                <w:sz w:val="18"/>
              </w:rPr>
              <w:t>Left R on table</w:t>
            </w:r>
          </w:p>
        </w:tc>
      </w:tr>
      <w:tr>
        <w:tc>
          <w:tcPr>
            <w:tcW w:type="dxa" w:w="1728"/>
          </w:tcPr>
          <w:p>
            <w:r>
              <w:rPr>
                <w:sz w:val="18"/>
              </w:rPr>
              <w:t>Short Entry #3</w:t>
            </w:r>
          </w:p>
        </w:tc>
        <w:tc>
          <w:tcPr>
            <w:tcW w:type="dxa" w:w="1728"/>
          </w:tcPr>
          <w:p>
            <w:r>
              <w:rPr>
                <w:sz w:val="18"/>
              </w:rPr>
              <w:t>MISSING</w:t>
            </w:r>
          </w:p>
        </w:tc>
        <w:tc>
          <w:tcPr>
            <w:tcW w:type="dxa" w:w="1728"/>
          </w:tcPr>
          <w:p>
            <w:r>
              <w:rPr>
                <w:sz w:val="18"/>
              </w:rPr>
              <w:t>98.585 (nearly filled, perfect 3rd entry)</w:t>
            </w:r>
          </w:p>
        </w:tc>
        <w:tc>
          <w:tcPr>
            <w:tcW w:type="dxa" w:w="1728"/>
          </w:tcPr>
          <w:p>
            <w:r>
              <w:rPr>
                <w:sz w:val="18"/>
              </w:rPr>
              <w:t>Zone edge not identified as entry point for scaling</w:t>
            </w:r>
          </w:p>
        </w:tc>
        <w:tc>
          <w:tcPr>
            <w:tcW w:type="dxa" w:w="1728"/>
          </w:tcPr>
          <w:p>
            <w:r>
              <w:rPr>
                <w:sz w:val="18"/>
              </w:rPr>
              <w:t>Left R on table</w:t>
            </w:r>
          </w:p>
        </w:tc>
      </w:tr>
      <w:tr>
        <w:tc>
          <w:tcPr>
            <w:tcW w:type="dxa" w:w="1728"/>
          </w:tcPr>
          <w:p>
            <w:r>
              <w:rPr>
                <w:sz w:val="18"/>
              </w:rPr>
              <w:t>Short TP</w:t>
            </w:r>
          </w:p>
        </w:tc>
        <w:tc>
          <w:tcPr>
            <w:tcW w:type="dxa" w:w="1728"/>
          </w:tcPr>
          <w:p>
            <w:r>
              <w:rPr>
                <w:sz w:val="18"/>
              </w:rPr>
              <w:t>Mid-move level (not strong support)</w:t>
            </w:r>
          </w:p>
        </w:tc>
        <w:tc>
          <w:tcPr>
            <w:tcW w:type="dxa" w:w="1728"/>
          </w:tcPr>
          <w:p>
            <w:r>
              <w:rPr>
                <w:sz w:val="18"/>
              </w:rPr>
              <w:t>Long entry zone (trade flow: short TP = long entry)</w:t>
            </w:r>
          </w:p>
        </w:tc>
        <w:tc>
          <w:tcPr>
            <w:tcW w:type="dxa" w:w="1728"/>
          </w:tcPr>
          <w:p>
            <w:r>
              <w:rPr>
                <w:sz w:val="18"/>
              </w:rPr>
              <w:t>TP set at arbitrary mid-range level rather than the next trade's entry zone</w:t>
            </w:r>
          </w:p>
        </w:tc>
        <w:tc>
          <w:tcPr>
            <w:tcW w:type="dxa" w:w="1728"/>
          </w:tcPr>
          <w:p>
            <w:r>
              <w:rPr>
                <w:sz w:val="18"/>
              </w:rPr>
              <w:t>RRR halved + broken trade flow</w:t>
            </w:r>
          </w:p>
        </w:tc>
      </w:tr>
    </w:tbl>
    <w:p/>
    <w:p>
      <w:r>
        <w:rPr>
          <w:b/>
          <w:i w:val="0"/>
        </w:rPr>
        <w:t>Root Cause Summary:</w:t>
      </w:r>
    </w:p>
    <w:p>
      <w:pPr>
        <w:pStyle w:val="ListBullet"/>
      </w:pPr>
      <w:r>
        <w:t>The system treats zones as "areas" rather than identifying the exact price points within zones where institutional algorithms will defend or reject. Zone EDGES and previously-validated reaction levels are more precise than zone centers.</w:t>
      </w:r>
    </w:p>
    <w:p>
      <w:pPr>
        <w:pStyle w:val="ListBullet"/>
      </w:pPr>
      <w:r>
        <w:t>Stop losses are anchored to the nearest CONVENIENT level rather than the nearest STRUCTURALLY VALID level. A 1H Demand zone formed 2 days prior is a more precise SL anchor than a distant weekly pivot.</w:t>
      </w:r>
    </w:p>
    <w:p>
      <w:pPr>
        <w:pStyle w:val="ListBullet"/>
      </w:pPr>
      <w:r>
        <w:t>Take profits are set at mathematically-derived targets without cross-referencing whether those exact levels have been validated by recent price action. The 98.245 level was a reaction level that the system failed to identify.</w:t>
      </w:r>
    </w:p>
    <w:p>
      <w:pPr>
        <w:pStyle w:val="Heading2"/>
      </w:pPr>
      <w:r>
        <w:t>Category 2: Scaled Entry Construction (HIGH)</w:t>
      </w:r>
    </w:p>
    <w:p>
      <w:r>
        <w:rPr>
          <w:b w:val="0"/>
          <w:i w:val="0"/>
        </w:rPr>
        <w:t>v4.4 produces single-entry trade setups. The live deployment demonstrated that optimal execution requires 2-3 scaled entries within a zone, each with increasing precision. The short side had 3 valid entry points (98.50, 98.55, 98.585) but only the first was identified. Adding entries #2 and #3 brought the short RRR above 5x versus the original ~2x.</w:t>
      </w:r>
    </w:p>
    <w:p>
      <w:r>
        <w:rPr>
          <w:b/>
          <w:i w:val="0"/>
        </w:rPr>
        <w:t>Scaled Entry Principle:</w:t>
      </w:r>
    </w:p>
    <w:p>
      <w:pPr>
        <w:pStyle w:val="ListBullet"/>
      </w:pPr>
      <w:r>
        <w:t xml:space="preserve">Entry #1: </w:t>
      </w:r>
    </w:p>
    <w:p>
      <w:pPr>
        <w:pStyle w:val="ListBullet"/>
        <w:ind w:left="720"/>
      </w:pPr>
      <w:r>
        <w:t>Zone first touch — the initial level where price enters the IP zone. Most conservative, highest probability of fill.</w:t>
      </w:r>
    </w:p>
    <w:p>
      <w:pPr>
        <w:pStyle w:val="ListBullet"/>
      </w:pPr>
      <w:r>
        <w:t xml:space="preserve">Entry #2: </w:t>
      </w:r>
    </w:p>
    <w:p>
      <w:pPr>
        <w:pStyle w:val="ListBullet"/>
        <w:ind w:left="720"/>
      </w:pPr>
      <w:r>
        <w:t>Zone mid-point or secondary confluence level within the zone. Moderate probability of fill.</w:t>
      </w:r>
    </w:p>
    <w:p>
      <w:pPr>
        <w:pStyle w:val="ListBullet"/>
      </w:pPr>
      <w:r>
        <w:t xml:space="preserve">Entry #3: </w:t>
      </w:r>
    </w:p>
    <w:p>
      <w:pPr>
        <w:pStyle w:val="ListBullet"/>
        <w:ind w:left="720"/>
      </w:pPr>
      <w:r>
        <w:t>Zone edge — the maximum extension within the zone. Lowest fill probability but highest RRR when filled. This is the "perfect entry" that was missed on the short side.</w:t>
      </w:r>
    </w:p>
    <w:p>
      <w:r>
        <w:rPr>
          <w:b w:val="0"/>
          <w:i w:val="0"/>
        </w:rPr>
        <w:t>Net position RRR should be calculated as the blended average across all entries. The system must report both individual entry RRR and net position RRR.</w:t>
      </w:r>
    </w:p>
    <w:p>
      <w:pPr>
        <w:pStyle w:val="Heading2"/>
      </w:pPr>
      <w:r>
        <w:t>Category 3: Trade Flow Continuity (CRITICAL)</w:t>
      </w:r>
    </w:p>
    <w:p>
      <w:r>
        <w:rPr>
          <w:b w:val="0"/>
          <w:i w:val="0"/>
        </w:rPr>
        <w:t>This is the most architecturally significant refinement. In v4.4, the long and short setups are constructed independently. In practice, they should flow into each other: the TP of the short IS the entry zone of the long, and vice versa. This creates a continuous trade flow where exiting one position automatically establishes the next.</w:t>
      </w:r>
    </w:p>
    <w:p>
      <w:pPr>
        <w:spacing w:before="80" w:after="80"/>
        <w:ind w:left="432"/>
        <w:shd w:val="clear" w:color="auto" w:fill="F0F4F8"/>
      </w:pPr>
      <w:r>
        <w:rPr>
          <w:rFonts w:ascii="Courier New" w:hAnsi="Courier New"/>
          <w:color w:val="0A1628"/>
          <w:sz w:val="18"/>
        </w:rPr>
        <w:t>v4.4 (disconnected):</w:t>
        <w:br/>
        <w:t xml:space="preserve">  SHORT: Entry 98.50 → TP [mid-move arbitrary level] → RRR ~2x</w:t>
        <w:br/>
        <w:t xml:space="preserve">  LONG:  Entry 97.85 → TP [overshot by 0.02] → RRR ~2x</w:t>
        <w:br/>
        <w:t xml:space="preserve">  Combined: Two independent, sub-optimal trades</w:t>
        <w:br/>
        <w:br/>
        <w:t>v4.5 (flowing):</w:t>
        <w:br/>
        <w:t xml:space="preserve">  SHORT: Entry#1 98.50, Entry#2 98.55, Entry#3 98.585</w:t>
        <w:br/>
        <w:t xml:space="preserve">         SL: [above resistance ceiling]</w:t>
        <w:br/>
        <w:t xml:space="preserve">         TP: Long entry zone (97.82-97.65) → Trade flows into LONG</w:t>
        <w:br/>
        <w:t xml:space="preserve">         Net RRR: &gt;5x</w:t>
        <w:br/>
        <w:br/>
        <w:t xml:space="preserve">  LONG:  Entry#1 97.65 (Wednesday 1H Demand zone), Entry#2 97.82 (zone edge reinforcement)</w:t>
        <w:br/>
        <w:t xml:space="preserve">         SL: 97.54 (below 1H Demand zone)</w:t>
        <w:br/>
        <w:t xml:space="preserve">         TP: 98.245 (previously-validated reaction level)</w:t>
        <w:br/>
        <w:t xml:space="preserve">         Net RRR: 10x</w:t>
        <w:br/>
        <w:br/>
        <w:t xml:space="preserve">  COMBINED TRADE FLOW: Short exits at Long entry → Capital is already positioned for Long</w:t>
        <w:br/>
        <w:t xml:space="preserve">  Total sequence RRR: &gt;7x blended</w:t>
      </w:r>
    </w:p>
    <w:p>
      <w:pPr>
        <w:pStyle w:val="Heading2"/>
      </w:pPr>
      <w:r>
        <w:t>Category 4: Macro Shape Timeframe Standardization (HIGH)</w:t>
      </w:r>
    </w:p>
    <w:p>
      <w:r>
        <w:rPr>
          <w:b w:val="0"/>
          <w:i w:val="0"/>
        </w:rPr>
        <w:t>The live deployment revealed that macro shape analysis was performed on the 30m timeframe, which introduced noise and variant misclassification. The 1H timeframe produces dramatically cleaner shape identification. The v4.4 prompt does not explicitly mandate a primary analysis timeframe for Engine 2, leading to inconsistent application.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Day</w:t>
            </w:r>
          </w:p>
        </w:tc>
        <w:tc>
          <w:tcPr>
            <w:tcW w:type="dxa" w:w="1728"/>
          </w:tcPr>
          <w:p>
            <w:r>
              <w:rPr>
                <w:b/>
                <w:sz w:val="18"/>
              </w:rPr>
              <w:t>v4.4 Prediction</w:t>
            </w:r>
          </w:p>
        </w:tc>
        <w:tc>
          <w:tcPr>
            <w:tcW w:type="dxa" w:w="1728"/>
          </w:tcPr>
          <w:p>
            <w:r>
              <w:rPr>
                <w:b/>
                <w:sz w:val="18"/>
              </w:rPr>
              <w:t>Actual (30m)</w:t>
            </w:r>
          </w:p>
        </w:tc>
        <w:tc>
          <w:tcPr>
            <w:tcW w:type="dxa" w:w="1728"/>
          </w:tcPr>
          <w:p>
            <w:r>
              <w:rPr>
                <w:b/>
                <w:sz w:val="18"/>
              </w:rPr>
              <w:t>Actual (1H)</w:t>
            </w:r>
          </w:p>
        </w:tc>
        <w:tc>
          <w:tcPr>
            <w:tcW w:type="dxa" w:w="1728"/>
          </w:tcPr>
          <w:p>
            <w:r>
              <w:rPr>
                <w:b/>
                <w:sz w:val="18"/>
              </w:rPr>
              <w:t>Assessment</w:t>
            </w:r>
          </w:p>
        </w:tc>
      </w:tr>
      <w:tr>
        <w:tc>
          <w:tcPr>
            <w:tcW w:type="dxa" w:w="1728"/>
          </w:tcPr>
          <w:p>
            <w:r>
              <w:rPr>
                <w:sz w:val="18"/>
              </w:rPr>
              <w:t>Monday</w:t>
            </w:r>
          </w:p>
        </w:tc>
        <w:tc>
          <w:tcPr>
            <w:tcW w:type="dxa" w:w="1728"/>
          </w:tcPr>
          <w:p>
            <w:r>
              <w:rPr>
                <w:sz w:val="18"/>
              </w:rPr>
              <w:t>SS</w:t>
            </w:r>
          </w:p>
        </w:tc>
        <w:tc>
          <w:tcPr>
            <w:tcW w:type="dxa" w:w="1728"/>
          </w:tcPr>
          <w:p>
            <w:r>
              <w:rPr>
                <w:sz w:val="18"/>
              </w:rPr>
              <w:t>SS</w:t>
            </w:r>
          </w:p>
        </w:tc>
        <w:tc>
          <w:tcPr>
            <w:tcW w:type="dxa" w:w="1728"/>
          </w:tcPr>
          <w:p>
            <w:r>
              <w:rPr>
                <w:sz w:val="18"/>
              </w:rPr>
              <w:t>SS</w:t>
            </w:r>
          </w:p>
        </w:tc>
        <w:tc>
          <w:tcPr>
            <w:tcW w:type="dxa" w:w="1728"/>
          </w:tcPr>
          <w:p>
            <w:r>
              <w:rPr>
                <w:sz w:val="18"/>
              </w:rPr>
              <w:t>CORRECT</w:t>
            </w:r>
          </w:p>
        </w:tc>
      </w:tr>
      <w:tr>
        <w:tc>
          <w:tcPr>
            <w:tcW w:type="dxa" w:w="1728"/>
          </w:tcPr>
          <w:p>
            <w:r>
              <w:rPr>
                <w:sz w:val="18"/>
              </w:rPr>
              <w:t>Tuesday</w:t>
            </w:r>
          </w:p>
        </w:tc>
        <w:tc>
          <w:tcPr>
            <w:tcW w:type="dxa" w:w="1728"/>
          </w:tcPr>
          <w:p>
            <w:r>
              <w:rPr>
                <w:sz w:val="18"/>
              </w:rPr>
              <w:t>SS/WLS</w:t>
            </w:r>
          </w:p>
        </w:tc>
        <w:tc>
          <w:tcPr>
            <w:tcW w:type="dxa" w:w="1728"/>
          </w:tcPr>
          <w:p>
            <w:r>
              <w:rPr>
                <w:sz w:val="18"/>
              </w:rPr>
              <w:t>SS</w:t>
            </w:r>
          </w:p>
        </w:tc>
        <w:tc>
          <w:tcPr>
            <w:tcW w:type="dxa" w:w="1728"/>
          </w:tcPr>
          <w:p>
            <w:r>
              <w:rPr>
                <w:sz w:val="18"/>
              </w:rPr>
              <w:t>SS</w:t>
            </w:r>
          </w:p>
        </w:tc>
        <w:tc>
          <w:tcPr>
            <w:tcW w:type="dxa" w:w="1728"/>
          </w:tcPr>
          <w:p>
            <w:r>
              <w:rPr>
                <w:sz w:val="18"/>
              </w:rPr>
              <w:t>CORRECT</w:t>
            </w:r>
          </w:p>
        </w:tc>
      </w:tr>
      <w:tr>
        <w:tc>
          <w:tcPr>
            <w:tcW w:type="dxa" w:w="1728"/>
          </w:tcPr>
          <w:p>
            <w:r>
              <w:rPr>
                <w:sz w:val="18"/>
              </w:rPr>
              <w:t>Wednesday</w:t>
            </w:r>
          </w:p>
        </w:tc>
        <w:tc>
          <w:tcPr>
            <w:tcW w:type="dxa" w:w="1728"/>
          </w:tcPr>
          <w:p>
            <w:r>
              <w:rPr>
                <w:sz w:val="18"/>
              </w:rPr>
              <w:t>SS/R</w:t>
            </w:r>
          </w:p>
        </w:tc>
        <w:tc>
          <w:tcPr>
            <w:tcW w:type="dxa" w:w="1728"/>
          </w:tcPr>
          <w:p>
            <w:r>
              <w:rPr>
                <w:sz w:val="18"/>
              </w:rPr>
              <w:t>BS + RWL</w:t>
            </w:r>
          </w:p>
        </w:tc>
        <w:tc>
          <w:tcPr>
            <w:tcW w:type="dxa" w:w="1728"/>
          </w:tcPr>
          <w:p>
            <w:r>
              <w:rPr>
                <w:sz w:val="18"/>
              </w:rPr>
              <w:t>BS + RWL</w:t>
            </w:r>
          </w:p>
        </w:tc>
        <w:tc>
          <w:tcPr>
            <w:tcW w:type="dxa" w:w="1728"/>
          </w:tcPr>
          <w:p>
            <w:r>
              <w:rPr>
                <w:sz w:val="18"/>
              </w:rPr>
              <w:t>Late, wrong variant</w:t>
            </w:r>
          </w:p>
        </w:tc>
      </w:tr>
      <w:tr>
        <w:tc>
          <w:tcPr>
            <w:tcW w:type="dxa" w:w="1728"/>
          </w:tcPr>
          <w:p>
            <w:r>
              <w:rPr>
                <w:sz w:val="18"/>
              </w:rPr>
              <w:t>Thursday</w:t>
            </w:r>
          </w:p>
        </w:tc>
        <w:tc>
          <w:tcPr>
            <w:tcW w:type="dxa" w:w="1728"/>
          </w:tcPr>
          <w:p>
            <w:r>
              <w:rPr>
                <w:sz w:val="18"/>
              </w:rPr>
              <w:t>BS</w:t>
            </w:r>
          </w:p>
        </w:tc>
        <w:tc>
          <w:tcPr>
            <w:tcW w:type="dxa" w:w="1728"/>
          </w:tcPr>
          <w:p>
            <w:r>
              <w:rPr>
                <w:sz w:val="18"/>
              </w:rPr>
              <w:t>SS + BS</w:t>
            </w:r>
          </w:p>
        </w:tc>
        <w:tc>
          <w:tcPr>
            <w:tcW w:type="dxa" w:w="1728"/>
          </w:tcPr>
          <w:p>
            <w:r>
              <w:rPr>
                <w:sz w:val="18"/>
              </w:rPr>
              <w:t>SS + BS</w:t>
            </w:r>
          </w:p>
        </w:tc>
        <w:tc>
          <w:tcPr>
            <w:tcW w:type="dxa" w:w="1728"/>
          </w:tcPr>
          <w:p>
            <w:r>
              <w:rPr>
                <w:sz w:val="18"/>
              </w:rPr>
              <w:t>Late, missed morning SS</w:t>
            </w:r>
          </w:p>
        </w:tc>
      </w:tr>
      <w:tr>
        <w:tc>
          <w:tcPr>
            <w:tcW w:type="dxa" w:w="1728"/>
          </w:tcPr>
          <w:p>
            <w:r>
              <w:rPr>
                <w:sz w:val="18"/>
              </w:rPr>
              <w:t>Friday</w:t>
            </w:r>
          </w:p>
        </w:tc>
        <w:tc>
          <w:tcPr>
            <w:tcW w:type="dxa" w:w="1728"/>
          </w:tcPr>
          <w:p>
            <w:r>
              <w:rPr>
                <w:sz w:val="18"/>
              </w:rPr>
              <w:t>R/WL</w:t>
            </w:r>
          </w:p>
        </w:tc>
        <w:tc>
          <w:tcPr>
            <w:tcW w:type="dxa" w:w="1728"/>
          </w:tcPr>
          <w:p>
            <w:r>
              <w:rPr>
                <w:sz w:val="18"/>
              </w:rPr>
              <w:t>RWL</w:t>
            </w:r>
          </w:p>
        </w:tc>
        <w:tc>
          <w:tcPr>
            <w:tcW w:type="dxa" w:w="1728"/>
          </w:tcPr>
          <w:p>
            <w:r>
              <w:rPr>
                <w:sz w:val="18"/>
              </w:rPr>
              <w:t>RWL</w:t>
            </w:r>
          </w:p>
        </w:tc>
        <w:tc>
          <w:tcPr>
            <w:tcW w:type="dxa" w:w="1728"/>
          </w:tcPr>
          <w:p>
            <w:r>
              <w:rPr>
                <w:sz w:val="18"/>
              </w:rPr>
              <w:t>Wrong variant (R vs SS prefix)</w:t>
            </w:r>
          </w:p>
        </w:tc>
      </w:tr>
    </w:tbl>
    <w:p/>
    <w:p>
      <w:r>
        <w:rPr>
          <w:b w:val="0"/>
          <w:i w:val="0"/>
        </w:rPr>
        <w:t>The 1H timeframe should be the MANDATORY primary analysis timeframe for Engine 2. All shape classification, chain mapping, and session decomposition must be performed on 1H first. The 30m and 4H timeframes serve as supplementary validation only, not as primary classification tools. The 1H timeframe is the institutional standard for DXY intraday analysis because it captures the London and NY session structure without noise from intra-session whipsaws.</w:t>
      </w:r>
    </w:p>
    <w:p>
      <w:pPr>
        <w:pStyle w:val="Heading2"/>
      </w:pPr>
      <w:r>
        <w:t>Category 5: FX Option Expiry Volume Threshold (MODERATE)</w:t>
      </w:r>
    </w:p>
    <w:p>
      <w:r>
        <w:rPr>
          <w:b w:val="0"/>
          <w:i w:val="0"/>
        </w:rPr>
        <w:t>Current v4.4 threshold for "significant" option expiry strikes is &gt;= 500M equivalent, with &gt;= 1B classified as "Critical Option Wall." Feedback indicates that sub-900M expiries are often noise from a signal-to-ratio perspective. However, the user has correctly noted that this should be evidence-based, not dogmatic: if sub-900M strikes are mapping key levels that price actually respected, they earn their place in the analysis.</w:t>
      </w:r>
    </w:p>
    <w:p>
      <w:r>
        <w:rPr>
          <w:b/>
          <w:i w:val="0"/>
        </w:rPr>
        <w:t>Proposed Tiered Threshold System: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Notional Tier</w:t>
            </w:r>
          </w:p>
        </w:tc>
        <w:tc>
          <w:tcPr>
            <w:tcW w:type="dxa" w:w="1728"/>
          </w:tcPr>
          <w:p>
            <w:r>
              <w:rPr>
                <w:b/>
                <w:sz w:val="18"/>
              </w:rPr>
              <w:t>Threshold</w:t>
            </w:r>
          </w:p>
        </w:tc>
        <w:tc>
          <w:tcPr>
            <w:tcW w:type="dxa" w:w="1728"/>
          </w:tcPr>
          <w:p>
            <w:r>
              <w:rPr>
                <w:b/>
                <w:sz w:val="18"/>
              </w:rPr>
              <w:t>Classification</w:t>
            </w:r>
          </w:p>
        </w:tc>
        <w:tc>
          <w:tcPr>
            <w:tcW w:type="dxa" w:w="1728"/>
          </w:tcPr>
          <w:p>
            <w:r>
              <w:rPr>
                <w:b/>
                <w:sz w:val="18"/>
              </w:rPr>
              <w:t>Default Treatment</w:t>
            </w:r>
          </w:p>
        </w:tc>
        <w:tc>
          <w:tcPr>
            <w:tcW w:type="dxa" w:w="1728"/>
          </w:tcPr>
          <w:p>
            <w:r>
              <w:rPr>
                <w:b/>
                <w:sz w:val="18"/>
              </w:rPr>
              <w:t>Override Condition</w:t>
            </w:r>
          </w:p>
        </w:tc>
      </w:tr>
      <w:tr>
        <w:tc>
          <w:tcPr>
            <w:tcW w:type="dxa" w:w="1728"/>
          </w:tcPr>
          <w:p>
            <w:r>
              <w:rPr>
                <w:sz w:val="18"/>
              </w:rPr>
              <w:t>Tier 1</w:t>
            </w:r>
          </w:p>
        </w:tc>
        <w:tc>
          <w:tcPr>
            <w:tcW w:type="dxa" w:w="1728"/>
          </w:tcPr>
          <w:p>
            <w:r>
              <w:rPr>
                <w:sz w:val="18"/>
              </w:rPr>
              <w:t>&gt;= 1B equivalent</w:t>
            </w:r>
          </w:p>
        </w:tc>
        <w:tc>
          <w:tcPr>
            <w:tcW w:type="dxa" w:w="1728"/>
          </w:tcPr>
          <w:p>
            <w:r>
              <w:rPr>
                <w:sz w:val="18"/>
              </w:rPr>
              <w:t>CRITICAL OPTION WALL</w:t>
            </w:r>
          </w:p>
        </w:tc>
        <w:tc>
          <w:tcPr>
            <w:tcW w:type="dxa" w:w="1728"/>
          </w:tcPr>
          <w:p>
            <w:r>
              <w:rPr>
                <w:sz w:val="18"/>
              </w:rPr>
              <w:t>Always included, highest weight</w:t>
            </w:r>
          </w:p>
        </w:tc>
        <w:tc>
          <w:tcPr>
            <w:tcW w:type="dxa" w:w="1728"/>
          </w:tcPr>
          <w:p>
            <w:r>
              <w:rPr>
                <w:sz w:val="18"/>
              </w:rPr>
              <w:t>N/A</w:t>
            </w:r>
          </w:p>
        </w:tc>
      </w:tr>
      <w:tr>
        <w:tc>
          <w:tcPr>
            <w:tcW w:type="dxa" w:w="1728"/>
          </w:tcPr>
          <w:p>
            <w:r>
              <w:rPr>
                <w:sz w:val="18"/>
              </w:rPr>
              <w:t>Tier 2</w:t>
            </w:r>
          </w:p>
        </w:tc>
        <w:tc>
          <w:tcPr>
            <w:tcW w:type="dxa" w:w="1728"/>
          </w:tcPr>
          <w:p>
            <w:r>
              <w:rPr>
                <w:sz w:val="18"/>
              </w:rPr>
              <w:t>900M - 1B equivalent</w:t>
            </w:r>
          </w:p>
        </w:tc>
        <w:tc>
          <w:tcPr>
            <w:tcW w:type="dxa" w:w="1728"/>
          </w:tcPr>
          <w:p>
            <w:r>
              <w:rPr>
                <w:sz w:val="18"/>
              </w:rPr>
              <w:t>SIGNIFICANT OPTION MAGNET</w:t>
            </w:r>
          </w:p>
        </w:tc>
        <w:tc>
          <w:tcPr>
            <w:tcW w:type="dxa" w:w="1728"/>
          </w:tcPr>
          <w:p>
            <w:r>
              <w:rPr>
                <w:sz w:val="18"/>
              </w:rPr>
              <w:t>Included, secondary weight</w:t>
            </w:r>
          </w:p>
        </w:tc>
        <w:tc>
          <w:tcPr>
            <w:tcW w:type="dxa" w:w="1728"/>
          </w:tcPr>
          <w:p>
            <w:r>
              <w:rPr>
                <w:sz w:val="18"/>
              </w:rPr>
              <w:t>N/A</w:t>
            </w:r>
          </w:p>
        </w:tc>
      </w:tr>
      <w:tr>
        <w:tc>
          <w:tcPr>
            <w:tcW w:type="dxa" w:w="1728"/>
          </w:tcPr>
          <w:p>
            <w:r>
              <w:rPr>
                <w:sz w:val="18"/>
              </w:rPr>
              <w:t>Tier 3</w:t>
            </w:r>
          </w:p>
        </w:tc>
        <w:tc>
          <w:tcPr>
            <w:tcW w:type="dxa" w:w="1728"/>
          </w:tcPr>
          <w:p>
            <w:r>
              <w:rPr>
                <w:sz w:val="18"/>
              </w:rPr>
              <w:t>500M - 900M equivalent</w:t>
            </w:r>
          </w:p>
        </w:tc>
        <w:tc>
          <w:tcPr>
            <w:tcW w:type="dxa" w:w="1728"/>
          </w:tcPr>
          <w:p>
            <w:r>
              <w:rPr>
                <w:sz w:val="18"/>
              </w:rPr>
              <w:t>CONDITIONAL MAGNET</w:t>
            </w:r>
          </w:p>
        </w:tc>
        <w:tc>
          <w:tcPr>
            <w:tcW w:type="dxa" w:w="1728"/>
          </w:tcPr>
          <w:p>
            <w:r>
              <w:rPr>
                <w:sz w:val="18"/>
              </w:rPr>
              <w:t>EXCLUDED by default</w:t>
            </w:r>
          </w:p>
        </w:tc>
        <w:tc>
          <w:tcPr>
            <w:tcW w:type="dxa" w:w="1728"/>
          </w:tcPr>
          <w:p>
            <w:r>
              <w:rPr>
                <w:sz w:val="18"/>
              </w:rPr>
              <w:t>INCLUDED if level coincides with a verified reaction level from Pillar 5 Step 0/0.5 or a confluence of 3+ other pillars</w:t>
            </w:r>
          </w:p>
        </w:tc>
      </w:tr>
      <w:tr>
        <w:tc>
          <w:tcPr>
            <w:tcW w:type="dxa" w:w="1728"/>
          </w:tcPr>
          <w:p>
            <w:r>
              <w:rPr>
                <w:sz w:val="18"/>
              </w:rPr>
              <w:t>Tier 4</w:t>
            </w:r>
          </w:p>
        </w:tc>
        <w:tc>
          <w:tcPr>
            <w:tcW w:type="dxa" w:w="1728"/>
          </w:tcPr>
          <w:p>
            <w:r>
              <w:rPr>
                <w:sz w:val="18"/>
              </w:rPr>
              <w:t>&lt; 500M equivalent</w:t>
            </w:r>
          </w:p>
        </w:tc>
        <w:tc>
          <w:tcPr>
            <w:tcW w:type="dxa" w:w="1728"/>
          </w:tcPr>
          <w:p>
            <w:r>
              <w:rPr>
                <w:sz w:val="18"/>
              </w:rPr>
              <w:t>NOISE</w:t>
            </w:r>
          </w:p>
        </w:tc>
        <w:tc>
          <w:tcPr>
            <w:tcW w:type="dxa" w:w="1728"/>
          </w:tcPr>
          <w:p>
            <w:r>
              <w:rPr>
                <w:sz w:val="18"/>
              </w:rPr>
              <w:t>Excluded</w:t>
            </w:r>
          </w:p>
        </w:tc>
        <w:tc>
          <w:tcPr>
            <w:tcW w:type="dxa" w:w="1728"/>
          </w:tcPr>
          <w:p>
            <w:r>
              <w:rPr>
                <w:sz w:val="18"/>
              </w:rPr>
              <w:t>Only included if 3+ pillars confirm the same level AND price has validated it as a reaction level in the prior 90 days</w:t>
            </w:r>
          </w:p>
        </w:tc>
      </w:tr>
    </w:tbl>
    <w:p/>
    <w:p>
      <w:r>
        <w:rPr>
          <w:b w:val="0"/>
          <w:i w:val="0"/>
        </w:rPr>
        <w:t>The key principle: notional size is the PRIMARY filter, but structural validation is the OVERRIDE. A 600M strike that sits exactly at a Confluent Floor from Pillar 5 Step 0e is more relevant than a 1.2B strike in the middle of nowhere with no structural confirmation. The system must cross-reference option notional against Pillar 5 structural validation before excluding any level.</w:t>
      </w:r>
    </w:p>
    <w:p>
      <w:pPr>
        <w:pStyle w:val="Heading2"/>
      </w:pPr>
      <w:r>
        <w:t>Category 6: Missed Level / Zone Gap Identification (MODERATE)</w:t>
      </w:r>
    </w:p>
    <w:p>
      <w:r>
        <w:rPr>
          <w:b w:val="0"/>
          <w:i w:val="0"/>
        </w:rPr>
        <w:t>The v4.4 output missed 1 zone and 3 minor levels that price reacted to (marked as "gold" on the user's chart). These were levels that the 9-pillar system did not produce. The "Dynamic Discovery Protocol" in v4.4 Section 8 of the Synthesis Engine identifies gaps prospectively but does not have a mechanism for identifying levels that SHOULD have been captured by the 9 pillars but were missed.</w:t>
      </w:r>
    </w:p>
    <w:p>
      <w:r>
        <w:rPr>
          <w:b/>
          <w:i w:val="0"/>
        </w:rPr>
        <w:t>Proposed Enhancement — Post-Zone-Map Gap Scan:</w:t>
      </w:r>
    </w:p>
    <w:p>
      <w:pPr>
        <w:pStyle w:val="ListBullet"/>
      </w:pPr>
      <w:r>
        <w:t>After the zone map is assembled, scan for any 0.20+ DXY point gaps between identified zones that are NOT flagged as discovery zones</w:t>
      </w:r>
    </w:p>
    <w:p>
      <w:pPr>
        <w:pStyle w:val="ListBullet"/>
      </w:pPr>
      <w:r>
        <w:t>Cross-reference gap regions against 1H and 4H demand/supply zones from the prior 2 weeks</w:t>
      </w:r>
    </w:p>
    <w:p>
      <w:pPr>
        <w:pStyle w:val="ListBullet"/>
      </w:pPr>
      <w:r>
        <w:t>Cross-reference gap regions against round number levels (.00, .25, .50, .75) that fall within the gap</w:t>
      </w:r>
    </w:p>
    <w:p>
      <w:pPr>
        <w:pStyle w:val="ListBullet"/>
      </w:pPr>
      <w:r>
        <w:t>Cross-reference gap regions against any EUR/USD option strike conversions from Pillar 8 that fell below the 500M threshold but landed in the gap</w:t>
      </w:r>
    </w:p>
    <w:p>
      <w:pPr>
        <w:pStyle w:val="ListBullet"/>
      </w:pPr>
      <w:r>
        <w:t>Flag any gap-region level that has 2+ supporting signals as "GAP IN-fill Level" with reduced confidence but explicit inclusion in the zone map</w:t>
      </w:r>
    </w:p>
    <w:p>
      <w:pPr>
        <w:pStyle w:val="Heading2"/>
      </w:pPr>
      <w:r>
        <w:t>Category 7: Breakout Risk Call — Validation &amp; Amplification (POSITIVE)</w:t>
      </w:r>
    </w:p>
    <w:p>
      <w:r>
        <w:rPr>
          <w:b w:val="0"/>
          <w:i w:val="0"/>
        </w:rPr>
        <w:t>The "BREAKOUT RISK: MID-RANGE SUPPORT (97.80-98.00) - Failure Probability: 30%" call was the standout success of the v4.4 deployment. It predicted the exact 4H BoM Demand Zone OB that started Thursday's breakout surge with only 0.02 DXY points of deviation. This confirms that the Pillar 9 ZFP methodology and the Measured Move Projection are fundamentally sound when the input data is accurate.</w:t>
      </w:r>
    </w:p>
    <w:p>
      <w:r>
        <w:rPr>
          <w:b w:val="0"/>
          <w:i w:val="0"/>
        </w:rPr>
        <w:t>The refinement here is not to change the methodology but to AMPLIFY the signal. When a breakout risk zone has ZFP between 25-35% (the "sweet spot" for zone failure that leads to significant breakouts), the report should explicitly flag it as a HIGH-PRIORITY SETUP with a recommended trade structure anchored to that zone. The v4.4 report flagged the risk but did not translate it into a specific trade setup with entry/SL/TP.</w:t>
      </w:r>
    </w:p>
    <w:p>
      <w:pPr>
        <w:spacing w:before="40" w:after="40"/>
        <w:pBdr>
          <w:bottom w:val="single" w:sz="6" w:space="1" w:color="D4AF37"/>
        </w:pBdr>
      </w:pPr>
    </w:p>
    <w:p>
      <w:pPr>
        <w:pStyle w:val="Heading1"/>
      </w:pPr>
      <w:r>
        <w:t>Proposed v4.5 Changes — Section-by-Section</w:t>
      </w:r>
    </w:p>
    <w:p>
      <w:pPr>
        <w:pStyle w:val="Heading2"/>
      </w:pPr>
      <w:r>
        <w:t>Change 1: Trade Structure Protocol (NEW SECTION — Part VII)</w:t>
      </w:r>
    </w:p>
    <w:p>
      <w:r>
        <w:rPr>
          <w:b/>
          <w:i w:val="0"/>
        </w:rPr>
        <w:t>Section Affected: NEW — Insert after Part VI (Engine 2)</w:t>
      </w:r>
    </w:p>
    <w:p>
      <w:r>
        <w:rPr>
          <w:b/>
          <w:i w:val="0"/>
          <w:color w:val="C0392B"/>
        </w:rPr>
        <w:t>Priority: CRITICAL — Highest impact on RRR</w:t>
      </w:r>
    </w:p>
    <w:p>
      <w:r>
        <w:rPr>
          <w:b w:val="0"/>
          <w:i w:val="0"/>
        </w:rPr>
        <w:t>Add an entirely new Part VII: "TRADE STRUCTURE PROTOCOL" that governs how IP zones and macro shapes translate into tradeable setups. This is the translation layer that currently does not exist as a formalized protocol in v4.4.</w:t>
      </w:r>
    </w:p>
    <w:p>
      <w:r>
        <w:rPr>
          <w:b/>
          <w:i w:val="0"/>
        </w:rPr>
        <w:t>7.1 Entry Precision Rules</w:t>
      </w:r>
    </w:p>
    <w:p>
      <w:pPr>
        <w:spacing w:before="80" w:after="80"/>
        <w:ind w:left="432"/>
        <w:shd w:val="clear" w:color="auto" w:fill="F0F4F8"/>
      </w:pPr>
      <w:r>
        <w:rPr>
          <w:rFonts w:ascii="Courier New" w:hAnsi="Courier New"/>
          <w:color w:val="0A1628"/>
          <w:sz w:val="18"/>
        </w:rPr>
        <w:t>RULE 1: ZONE EDGE ENTRIES. Entry points MUST be placed at zone EDGES, not zone centers.</w:t>
        <w:br/>
        <w:t xml:space="preserve">  - For a support zone [97.65 - 97.82]: Entry at 97.82 (zone edge), NOT 97.73 (zone mid)</w:t>
        <w:br/>
        <w:t xml:space="preserve">  - For a resistance zone [98.50 - 98.60]: Entry at 98.50 (zone edge), NOT 98.55 (zone mid)</w:t>
        <w:br/>
        <w:t xml:space="preserve">  Rationale: Zone edges are where institutional order blocks begin. Zone centers are</w:t>
        <w:br/>
        <w:t xml:space="preserve">  arbitrary midpoints with no structural significance.</w:t>
        <w:br/>
        <w:br/>
        <w:t>RULE 2: DEMAND ZONE ANCHORED STOPS. Stop losses MUST be placed at the nearest</w:t>
        <w:br/>
        <w:t>structurally valid level below/above the entry, not at arbitrary distances.</w:t>
        <w:br/>
        <w:t xml:space="preserve">  - Preferred: Inside a 1H Demand zone formed within the prior 3 sessions</w:t>
        <w:br/>
        <w:t xml:space="preserve">  - Acceptable: Below a Confluent Floor from Pillar 5 Step 0e</w:t>
        <w:br/>
        <w:t xml:space="preserve">  - Unacceptable: "15-20 pips below entry" or any distance-based SL placement</w:t>
        <w:br/>
        <w:br/>
        <w:t>RULE 3: REACTION-LEVEL TPs. Take profits MUST be anchored to levels where price has</w:t>
        <w:br/>
        <w:t>previously reacted, NOT to arbitrary measured-move projections.</w:t>
        <w:br/>
        <w:t xml:space="preserve">  - Primary: Prior swing high/low that price reacted to within the prior 90 days</w:t>
        <w:br/>
        <w:t xml:space="preserve">  - Secondary: Structural Extreme Magnet from Pillar 5 Step 0.5</w:t>
        <w:br/>
        <w:t xml:space="preserve">  - Tertiary: Measured Move target from Pillar 9 Step 4 (only if no reaction level exists)</w:t>
        <w:br/>
        <w:t xml:space="preserve">  - FORBIDDEN: "0.618 extension" or "1.618 extension" as standalone TP without structural anchor</w:t>
      </w:r>
    </w:p>
    <w:p>
      <w:r>
        <w:rPr>
          <w:b/>
          <w:i w:val="0"/>
        </w:rPr>
        <w:t>7.2 Scaled Entry Protocol</w:t>
      </w:r>
    </w:p>
    <w:p>
      <w:pPr>
        <w:spacing w:before="80" w:after="80"/>
        <w:ind w:left="432"/>
        <w:shd w:val="clear" w:color="auto" w:fill="F0F4F8"/>
      </w:pPr>
      <w:r>
        <w:rPr>
          <w:rFonts w:ascii="Courier New" w:hAnsi="Courier New"/>
          <w:color w:val="0A1628"/>
          <w:sz w:val="18"/>
        </w:rPr>
        <w:t>For every trade setup, identify up to 3 entry points within the IP zone:</w:t>
        <w:br/>
        <w:br/>
        <w:t xml:space="preserve">  Entry #1 (Zone First Touch): The first level where price enters the IP zone.</w:t>
        <w:br/>
        <w:t xml:space="preserve">    - Highest fill probability</w:t>
        <w:br/>
        <w:t xml:space="preserve">    - Most conservative position size (30-40% of full position)</w:t>
        <w:br/>
        <w:t xml:space="preserve">    - Place at the zone edge closest to current price</w:t>
        <w:br/>
        <w:br/>
        <w:t xml:space="preserve">  Entry #2 (Zone Mid-Confluence): A secondary confluence level within the zone.</w:t>
        <w:br/>
        <w:t xml:space="preserve">    - Moderate fill probability</w:t>
        <w:br/>
        <w:t xml:space="preserve">    - Secondary position size (30-40% of full position)</w:t>
        <w:br/>
        <w:t xml:space="preserve">    - Place at a level within the zone where 2+ pillars confirm a micro-level</w:t>
        <w:br/>
        <w:br/>
        <w:t xml:space="preserve">  Entry #3 (Zone Far Edge): The maximum extension level within the zone.</w:t>
        <w:br/>
        <w:t xml:space="preserve">    - Lowest fill probability, highest RRR when filled</w:t>
        <w:br/>
        <w:t xml:space="preserve">    - Residual position size (20-40% of full position)</w:t>
        <w:br/>
        <w:t xml:space="preserve">    - Place at the zone edge furthest from current price</w:t>
        <w:br/>
        <w:br/>
        <w:t xml:space="preserve">  REPORTING: Each entry gets its own RRR. Net position RRR is the blended average.</w:t>
        <w:br/>
        <w:t xml:space="preserve">  If Entry #3 is NOT filled, the trade still executes with Entries #1 and #2 at adjusted RRR.</w:t>
      </w:r>
    </w:p>
    <w:p>
      <w:r>
        <w:rPr>
          <w:b/>
          <w:i w:val="0"/>
        </w:rPr>
        <w:t>7.3 Trade Flow Continuity Protocol</w:t>
      </w:r>
    </w:p>
    <w:p>
      <w:pPr>
        <w:spacing w:before="80" w:after="80"/>
        <w:ind w:left="432"/>
        <w:shd w:val="clear" w:color="auto" w:fill="F0F4F8"/>
      </w:pPr>
      <w:r>
        <w:rPr>
          <w:rFonts w:ascii="Courier New" w:hAnsi="Courier New"/>
          <w:color w:val="0A1628"/>
          <w:sz w:val="18"/>
        </w:rPr>
        <w:t>RULE: The TP of Trade N MUST be anchored to the entry zone of Trade N+1.</w:t>
        <w:br/>
        <w:br/>
        <w:t>When a macro shape chain predicts SS -&gt; BS -&gt; R -&gt; WL:</w:t>
        <w:br/>
        <w:t xml:space="preserve">  Trade 1 (SS Range Trade): Entry at SS floor, TP at SS ceiling, SL below SS floor</w:t>
        <w:br/>
        <w:t xml:space="preserve">  Trade 2 (BS Directional): Entry at SS ceiling (Trade 1 TP), TP at R zone or WL rejection</w:t>
        <w:br/>
        <w:t xml:space="preserve">  Trade 3 (R/WL Counter): Entry at R zone or WL rejection (Trade 2 TP), TP at next IP zone</w:t>
        <w:br/>
        <w:br/>
        <w:t>The trade chain flows continuously. Exiting one trade automatically positions for the next.</w:t>
        <w:br/>
        <w:t>Capital is never "waiting" between trades — it flows from one structural anchor to the next.</w:t>
        <w:br/>
        <w:br/>
        <w:t>FORMAT:</w:t>
        <w:br/>
        <w:t xml:space="preserve">  TRADE FLOW: [Trade 1] -&gt; [Trade 2] -&gt; [Trade 3]</w:t>
        <w:br/>
        <w:t xml:space="preserve">  Flow Point 1: Trade 1 TP = Trade 2 Entry Zone ([level range])</w:t>
        <w:br/>
        <w:t xml:space="preserve">  Flow Point 2: Trade 2 TP = Trade 3 Entry Zone ([level range])</w:t>
        <w:br/>
        <w:t xml:space="preserve">  Sequence RRR: [blended RRR across all trades in the flow]</w:t>
        <w:br/>
        <w:t xml:space="preserve">  Maximum Drawdown: [worst-case across all trades if all stop out]</w:t>
      </w:r>
    </w:p>
    <w:p>
      <w:r>
        <w:rPr>
          <w:b/>
          <w:i w:val="0"/>
        </w:rPr>
        <w:t>7.4 Minimum RRR Standard</w:t>
      </w:r>
    </w:p>
    <w:p>
      <w:pPr>
        <w:spacing w:before="80" w:after="80"/>
        <w:ind w:left="432"/>
        <w:shd w:val="clear" w:color="auto" w:fill="F0F4F8"/>
      </w:pPr>
      <w:r>
        <w:rPr>
          <w:rFonts w:ascii="Courier New" w:hAnsi="Courier New"/>
          <w:color w:val="0A1628"/>
          <w:sz w:val="18"/>
        </w:rPr>
        <w:t>MINIMUM RRR THRESHOLD: 5x</w:t>
        <w:br/>
        <w:br/>
        <w:t>No trade setup with RRR below 5x may be presented as a primary setup.</w:t>
        <w:br/>
        <w:t>If the initial entry/SL/TP structure produces RRR &lt; 5x:</w:t>
        <w:br/>
        <w:t xml:space="preserve">  1. Tighten SL to nearest structurally valid level (per Rule 2 above)</w:t>
        <w:br/>
        <w:t xml:space="preserve">  2. Extend TP to nearest reaction level (per Rule 3 above)</w:t>
        <w:br/>
        <w:t xml:space="preserve">  3. Add scaled entries to improve net RRR (per Section 7.2)</w:t>
        <w:br/>
        <w:t xml:space="preserve">  4. If RRR still &lt; 5x after all adjustments, flag as SUPPLEMENTARY SETUP only</w:t>
        <w:br/>
        <w:br/>
        <w:t>TARGET RRR: 8-10x for high-conviction setups (Hard Wall rejection, Fortress zone)</w:t>
        <w:br/>
        <w:t>MINIMUM for SUPPLEMENTARY: 3x (only with 2+ scaled entries and flow continuity)</w:t>
      </w:r>
    </w:p>
    <w:p>
      <w:pPr>
        <w:pStyle w:val="Heading2"/>
      </w:pPr>
      <w:r>
        <w:t>Change 2: Engine 2 Timeframe Standardization</w:t>
      </w:r>
    </w:p>
    <w:p>
      <w:r>
        <w:rPr>
          <w:b/>
          <w:i w:val="0"/>
        </w:rPr>
        <w:t>Section Affected: Part VI, Section 6.1 (Macro Shape Taxonomy) + Section 6.6 (Forward Mapping Procedure)</w:t>
      </w:r>
    </w:p>
    <w:p>
      <w:r>
        <w:rPr>
          <w:b/>
          <w:i w:val="0"/>
          <w:color w:val="D4AF37"/>
        </w:rPr>
        <w:t>Priority: HIGH — Direct impact on shape classification accuracy</w:t>
      </w:r>
    </w:p>
    <w:p>
      <w:pPr>
        <w:spacing w:before="80" w:after="80"/>
        <w:ind w:left="432"/>
        <w:shd w:val="clear" w:color="auto" w:fill="F0F4F8"/>
      </w:pPr>
      <w:r>
        <w:rPr>
          <w:rFonts w:ascii="Courier New" w:hAnsi="Courier New"/>
          <w:color w:val="0A1628"/>
          <w:sz w:val="18"/>
        </w:rPr>
        <w:t>INSERT at beginning of Section 6.1:</w:t>
        <w:br/>
        <w:br/>
        <w:t>PRIMARY ANALYSIS TIMEFRAME: 1H</w:t>
        <w:br/>
        <w:br/>
        <w:t>All macro shape classification, chain mapping, and session decomposition MUST be</w:t>
        <w:br/>
        <w:t>performed on the 1H timeframe as the primary analysis layer.</w:t>
        <w:br/>
        <w:br/>
        <w:t>Timeframe Hierarchy:</w:t>
        <w:br/>
        <w:t xml:space="preserve">  1H (PRIMARY): Shape classification, chain construction, day-by-day mapping</w:t>
        <w:br/>
        <w:t xml:space="preserve">  4H (STRUCTURAL): Validates SS range boundaries and BS direction — never primary</w:t>
        <w:br/>
        <w:t xml:space="preserve">  30m (SUPPLEMENTARY): Intra-session detail only — never used for shape classification</w:t>
        <w:br/>
        <w:t xml:space="preserve">  D1 (MACRO): Regime context only — weekly trend direction</w:t>
        <w:br/>
        <w:br/>
        <w:t>WHY 1H:</w:t>
        <w:br/>
        <w:t xml:space="preserve">  - Captures London (2-3 bars) and NY (7-8 bars) session structure without noise</w:t>
        <w:br/>
        <w:t xml:space="preserve">  - Each bar represents ~30 minutes of institutional flow — meaningful directionality</w:t>
        <w:br/>
        <w:t xml:space="preserve">  - 30m introduces intra-session whipsaws that misclassify SS as WLS and R as SS</w:t>
        <w:br/>
        <w:t xml:space="preserve">  - 4H smooths too aggressively, missing intra-day shape transitions</w:t>
        <w:br/>
        <w:br/>
        <w:t>MANDATORY: The weekly shape chain visualization (Section 6.9) MUST be derived from</w:t>
        <w:br/>
        <w:t>1H analysis. The report MUST state: "Primary Timeframe: 1H | Structural Validation: 4H"</w:t>
      </w:r>
    </w:p>
    <w:p>
      <w:pPr>
        <w:pStyle w:val="Heading2"/>
      </w:pPr>
      <w:r>
        <w:t>Change 3: FX Option Expiry Notional Threshold Refinement</w:t>
      </w:r>
    </w:p>
    <w:p>
      <w:r>
        <w:rPr>
          <w:b/>
          <w:i w:val="0"/>
        </w:rPr>
        <w:t>Section Affected: Pillar 3 Step 5, Pillar 8 Step 5, Synthesis Engine Confluence Scoring</w:t>
      </w:r>
    </w:p>
    <w:p>
      <w:r>
        <w:rPr>
          <w:b/>
          <w:i w:val="0"/>
          <w:color w:val="D4AF37"/>
        </w:rPr>
        <w:t>Priority: MODERATE — Signal-to-noise optimization</w:t>
      </w:r>
    </w:p>
    <w:p>
      <w:pPr>
        <w:spacing w:before="80" w:after="80"/>
        <w:ind w:left="432"/>
        <w:shd w:val="clear" w:color="auto" w:fill="F0F4F8"/>
      </w:pPr>
      <w:r>
        <w:rPr>
          <w:rFonts w:ascii="Courier New" w:hAnsi="Courier New"/>
          <w:color w:val="0A1628"/>
          <w:sz w:val="18"/>
        </w:rPr>
        <w:t>REVISED NOTIONAL CLASSIFICATION (replaces Pillar 3 Step 5 and Pillar 8 Step 5):</w:t>
        <w:br/>
        <w:br/>
        <w:t>| Tier | Notional              | Classification          | Default  | Override                    |</w:t>
        <w:br/>
        <w:t>|------|-----------------------|-------------------------|----------|-----------------------------|</w:t>
        <w:br/>
        <w:t>| 1    | &gt;= 1.0B equivalent    | CRITICAL OPTION WALL    | INCLUDE  | N/A (always included)       |</w:t>
        <w:br/>
        <w:t>| 2    | 900M - 1.0B equiv    | SIGNIFICANT MAGNET      | INCLUDE  | N/A (always included)       |</w:t>
        <w:br/>
        <w:t>| 3    | 500M - 900M equiv    | CONDITIONAL MAGNET      | EXCLUDE  | Include if level coincides  |</w:t>
        <w:br/>
        <w:t>|      |                       |                         |          | with Pillar 5 Step 0/0.5    |</w:t>
        <w:br/>
        <w:t>|      |                       |                         |          | verified reaction level OR   |</w:t>
        <w:br/>
        <w:t>|      |                       |                         |          | 3+ pillar confluence at      |</w:t>
        <w:br/>
        <w:t>|      |                       |                         |          | same level                   |</w:t>
        <w:br/>
        <w:t>| 4    | &lt; 500M equivalent     | NOISE                   | EXCLUDE  | Include ONLY if 3+ pillars   |</w:t>
        <w:br/>
        <w:t>|      |                       |                         |          | confirm AND price validated  |</w:t>
        <w:br/>
        <w:t>|      |                       |                         |          | as reaction in prior 90 days |</w:t>
        <w:br/>
        <w:br/>
        <w:t>CONFLUENCE SCORE ADJUSTMENTS:</w:t>
        <w:br/>
        <w:t xml:space="preserve">  Tier 1: Options-Derived dimension score = 2 (maximum), confluence score +3</w:t>
        <w:br/>
        <w:t xml:space="preserve">  Tier 2: Options-Derived dimension score = 2, confluence score +2</w:t>
        <w:br/>
        <w:t xml:space="preserve">  Tier 3 (override): Options-Derived dimension score = 1, confluence score +1</w:t>
        <w:br/>
        <w:t xml:space="preserve">  Tier 4 (override): Options-Derived dimension score = 0.5, confluence score +0.5</w:t>
        <w:br/>
        <w:br/>
        <w:t>AUDIT TRAIL ADDITION:</w:t>
        <w:br/>
        <w:t xml:space="preserve">  For any Tier 3/4 inclusion via override, the report MUST state:</w:t>
        <w:br/>
        <w:t xml:space="preserve">  "[STRIKE] [NOTIONAL] included via structural override: [Pillar 5 validation] + [X] pillar confluence"</w:t>
        <w:br/>
        <w:t xml:space="preserve">  This ensures full traceability of why a sub-threshold expiry was included.</w:t>
      </w:r>
    </w:p>
    <w:p>
      <w:pPr>
        <w:pStyle w:val="Heading2"/>
      </w:pPr>
      <w:r>
        <w:t>Change 4: Post-Zone-Map Gap Scan (Synthesis Engine Enhancement)</w:t>
      </w:r>
    </w:p>
    <w:p>
      <w:r>
        <w:rPr>
          <w:b/>
          <w:i w:val="0"/>
        </w:rPr>
        <w:t>Section Affected: Synthesis Engine, after Step 9 (Zone Assembly Algorithm Step 9), before Dynamic Discovery Protocol</w:t>
      </w:r>
    </w:p>
    <w:p>
      <w:r>
        <w:rPr>
          <w:b/>
          <w:i w:val="0"/>
          <w:color w:val="D4AF37"/>
        </w:rPr>
        <w:t>Priority: MODERATE — Catches missed levels</w:t>
      </w:r>
    </w:p>
    <w:p>
      <w:pPr>
        <w:spacing w:before="80" w:after="80"/>
        <w:ind w:left="432"/>
        <w:shd w:val="clear" w:color="auto" w:fill="F0F4F8"/>
      </w:pPr>
      <w:r>
        <w:rPr>
          <w:rFonts w:ascii="Courier New" w:hAnsi="Courier New"/>
          <w:color w:val="0A1628"/>
          <w:sz w:val="18"/>
        </w:rPr>
        <w:t>INSERT after Zone Assembly Algorithm Step 9:</w:t>
        <w:br/>
        <w:br/>
        <w:t>STEP 9.5: POST-ZONE-MAP GAP SCAN (MANDATORY)</w:t>
        <w:br/>
        <w:br/>
        <w:t>After the zone map is assembled and zones are named, perform a systematic scan</w:t>
        <w:br/>
        <w:t>for structural gaps that the 9-pillar system may have missed:</w:t>
        <w:br/>
        <w:br/>
        <w:t>9.5a. Identify all gaps &gt;= 0.20 DXY points between adjacent mapped zones</w:t>
        <w:br/>
        <w:t xml:space="preserve">      that are NOT already flagged as discovery zones.</w:t>
        <w:br/>
        <w:br/>
        <w:t>9.5b. For each gap, check:</w:t>
        <w:br/>
        <w:t xml:space="preserve">  - Does a 1H or 4H demand/supply zone from the prior 2 weeks fall in this gap?</w:t>
        <w:br/>
        <w:t xml:space="preserve">  - Does a round number level (.00, .25, .50, .75) fall in this gap?</w:t>
        <w:br/>
        <w:t xml:space="preserve">  - Does a EUR/USD option strike conversion (Tier 3/4 from Pillar 8) fall in this gap?</w:t>
        <w:br/>
        <w:t xml:space="preserve">  - Does a daily pivot level from Pillar 1 (any of the 5 daily sets) fall in this gap?</w:t>
        <w:br/>
        <w:br/>
        <w:t>9.5c. If any gap-region level has 2+ supporting signals:</w:t>
        <w:br/>
        <w:t xml:space="preserve">  - Flag as "GAP IN-FILL LEVEL" with Confidence: MODERATE</w:t>
        <w:br/>
        <w:t xml:space="preserve">  - Include in the zone map with Structural dimension score = 1</w:t>
        <w:br/>
        <w:t xml:space="preserve">  - Add audit trail: "Gap In-fill: [level] supported by [signal 1] + [signal 2]"</w:t>
        <w:br/>
        <w:br/>
        <w:t>9.5d. Output the gap scan results:</w:t>
        <w:br/>
        <w:t xml:space="preserve">  Gap Scan: [X] gaps &gt;= 0.20 DXY | [Y] Gap In-fill Levels identified | [Z] gaps remain unfilled</w:t>
        <w:br/>
        <w:t xml:space="preserve">  Gap In-fill Levels: [list levels with supporting signals]</w:t>
        <w:br/>
        <w:t xml:space="preserve">  Unfilled Gaps: [list gap ranges with no supporting signals — flagged as Discovery Zones]</w:t>
      </w:r>
    </w:p>
    <w:p>
      <w:pPr>
        <w:pStyle w:val="Heading2"/>
      </w:pPr>
      <w:r>
        <w:t>Change 5: Breakout Risk Amplification (Pillar 9 Enhancement)</w:t>
      </w:r>
    </w:p>
    <w:p>
      <w:r>
        <w:rPr>
          <w:b/>
          <w:i w:val="0"/>
        </w:rPr>
        <w:t>Section Affected: Pillar 9 Step 6 (Breakout Risk Alerts)</w:t>
      </w:r>
    </w:p>
    <w:p>
      <w:r>
        <w:rPr>
          <w:b/>
          <w:i w:val="0"/>
          <w:color w:val="D4AF37"/>
        </w:rPr>
        <w:t>Priority: HIGH — Converts accurate risk calls into tradeable setups</w:t>
      </w:r>
    </w:p>
    <w:p>
      <w:pPr>
        <w:spacing w:before="80" w:after="80"/>
        <w:ind w:left="432"/>
        <w:shd w:val="clear" w:color="auto" w:fill="F0F4F8"/>
      </w:pPr>
      <w:r>
        <w:rPr>
          <w:rFonts w:ascii="Courier New" w:hAnsi="Courier New"/>
          <w:color w:val="0A1628"/>
          <w:sz w:val="18"/>
        </w:rPr>
        <w:t>REVISED Pillar 9 Step 6 — Breakout Risk Alerts with Trade Structure:</w:t>
        <w:br/>
        <w:br/>
        <w:t>When a zone has Failure Probability between 25-45% (the "Breakout Sweet Spot"):</w:t>
        <w:br/>
        <w:br/>
        <w:t xml:space="preserve">  ⚠ BREAKOUT RISK: [ZONE] at [LEVEL] — Failure Probability: [X]%</w:t>
        <w:br/>
        <w:t xml:space="preserve">  Triggers: [list of active signals increasing failure probability]</w:t>
        <w:br/>
        <w:t xml:space="preserve">  If breaks: Measured Move Target = [projected level] ([confidence tier])</w:t>
        <w:br/>
        <w:t xml:space="preserve">  Structural Anchor: [nearest Pillar 5 Step 0/0.5 extreme]</w:t>
        <w:br/>
        <w:br/>
        <w:t xml:space="preserve">  // NEW: Trade Structure Recommendation</w:t>
        <w:br/>
        <w:t xml:space="preserve">  TRADE STRUCTURE:</w:t>
        <w:br/>
        <w:t xml:space="preserve">    Direction: [LONG/SHORT] (if zone fails)</w:t>
        <w:br/>
        <w:t xml:space="preserve">    Entry Trigger: Zone failure confirmation (15+ min sustained break)</w:t>
        <w:br/>
        <w:t xml:space="preserve">    Entry Zone: [level range where breakout entry is placed]</w:t>
        <w:br/>
        <w:t xml:space="preserve">    Stop Loss: [failing zone level — if breakout is real, this level will NOT be retested]</w:t>
        <w:br/>
        <w:t xml:space="preserve">    Take Profit: [Measured Move target or nearest Structural Extreme Magnet]</w:t>
        <w:br/>
        <w:t xml:space="preserve">    R:R: [calculated]</w:t>
        <w:br/>
        <w:t xml:space="preserve">    Scaled Entries: [list up to 3 entry levels within the entry zone]</w:t>
        <w:br/>
        <w:t xml:space="preserve">    Flow Continuity: [what trade follows if this TP is reached]</w:t>
        <w:br/>
        <w:br/>
        <w:t xml:space="preserve">  If zone HOLDS (alternative):</w:t>
        <w:br/>
        <w:t xml:space="preserve">    Direction: [LONG/SHORT] (zone rejection)</w:t>
        <w:br/>
        <w:t xml:space="preserve">    Entry: [zone edge where rejection is expected]</w:t>
        <w:br/>
        <w:t xml:space="preserve">    Stop Loss: [just beyond the zone, above/below the Liquidity Sweep Target]</w:t>
        <w:br/>
        <w:t xml:space="preserve">    Take Profit: [opposite zone boundary or next IP zone]</w:t>
        <w:br/>
        <w:t xml:space="preserve">    R:R: [calculated]</w:t>
        <w:br/>
        <w:t xml:space="preserve">    Flow Continuity: [what trade follows]</w:t>
      </w:r>
    </w:p>
    <w:p>
      <w:pPr>
        <w:pStyle w:val="Heading2"/>
      </w:pPr>
      <w:r>
        <w:t>Change 6: Engine 2 Session Decomposition — Trade Setup Integration</w:t>
      </w:r>
    </w:p>
    <w:p>
      <w:r>
        <w:rPr>
          <w:b/>
          <w:i w:val="0"/>
        </w:rPr>
        <w:t>Section Affected: Part VI, Section 6.6 Step 5 (Session/Day-Level Decomposition) — TRADE SETUPS subsection</w:t>
      </w:r>
    </w:p>
    <w:p>
      <w:r>
        <w:rPr>
          <w:b/>
          <w:i w:val="0"/>
          <w:color w:val="C0392B"/>
        </w:rPr>
        <w:t>Priority: CRITICAL — Translates shapes into executable trades</w:t>
      </w:r>
    </w:p>
    <w:p>
      <w:pPr>
        <w:spacing w:before="80" w:after="80"/>
        <w:ind w:left="432"/>
        <w:shd w:val="clear" w:color="auto" w:fill="F0F4F8"/>
      </w:pPr>
      <w:r>
        <w:rPr>
          <w:rFonts w:ascii="Courier New" w:hAnsi="Courier New"/>
          <w:color w:val="0A1628"/>
          <w:sz w:val="18"/>
        </w:rPr>
        <w:t>REVISED TRADE SETUPS format (replaces current Setup A/B format in Section 6.6 Step 5):</w:t>
        <w:br/>
        <w:br/>
        <w:t>TRADE FLOW MAP (replaces individual Setup A/B):</w:t>
        <w:br/>
        <w:t xml:space="preserve">  Trade 1: [Shape Context: e.g., "SS range bounce at floor zone"]</w:t>
        <w:br/>
        <w:t xml:space="preserve">    Direction: [LONG/SHORT DXY]</w:t>
        <w:br/>
        <w:t xml:space="preserve">    Entry #1: [zone edge] | Entry #2: [zone mid-confluence] | Entry #3: [zone far edge]</w:t>
        <w:br/>
        <w:t xml:space="preserve">    Stop Loss: [nearest structurally valid level, cite specific zone + timeframe + date formed]</w:t>
        <w:br/>
        <w:t xml:space="preserve">    Take Profit: [next IP zone or reaction level, cite Pillar 5 Step 0/0.5 anchor]</w:t>
        <w:br/>
        <w:t xml:space="preserve">    Entry #1 R:R: [X] | Entry #2 R:R: [Y] | Entry #3 R:R: [Z] | Net R:R: [blended]</w:t>
        <w:br/>
        <w:t xml:space="preserve">    Flow Point: TP -&gt; [Trade 2 Entry Zone]</w:t>
        <w:br/>
        <w:br/>
        <w:t xml:space="preserve">  Trade 2: [Shape Context: e.g., "BS directional from SS ceiling failure"]</w:t>
        <w:br/>
        <w:t xml:space="preserve">    Direction: [LONG/SHORT DXY]</w:t>
        <w:br/>
        <w:t xml:space="preserve">    Entry #1: [Trade 1 TP zone] | Entry #2: [zone mid] | Entry #3: [zone far edge]</w:t>
        <w:br/>
        <w:t xml:space="preserve">    Stop Loss: [cite specific zone + timeframe + date formed]</w:t>
        <w:br/>
        <w:t xml:space="preserve">    Take Profit: [Measured Move target or Structural Extreme Magnet, cite anchor]</w:t>
        <w:br/>
        <w:t xml:space="preserve">    Entry #1 R:R: [X] | Entry #2 R:R: [Y] | Entry #3 R:R: [Z] | Net R:R: [blended]</w:t>
        <w:br/>
        <w:t xml:space="preserve">    Flow Point: TP -&gt; [Trade 3 Entry Zone or "END OF WEEK"]</w:t>
        <w:br/>
        <w:br/>
        <w:t xml:space="preserve">  Sequence R:R: [blended across all trades in flow]</w:t>
        <w:br/>
        <w:t xml:space="preserve">  Maximum Drawdown: [worst-case if all trades stop out]</w:t>
        <w:br/>
        <w:t xml:space="preserve">  Minimum RRR Threshold Check: [PASS/FAIL — must be &gt;= 5x to present as PRIMARY]</w:t>
        <w:br/>
        <w:br/>
        <w:t xml:space="preserve">  No-Trade Zone: [conditions under which NO trade should be taken]</w:t>
        <w:br/>
        <w:t xml:space="preserve">  Alternative Flow: [if Decision Zone holds/fails differently than primary assumption]</w:t>
      </w:r>
    </w:p>
    <w:p>
      <w:pPr>
        <w:pStyle w:val="Heading2"/>
      </w:pPr>
      <w:r>
        <w:t>Change 7: Temporal Boundary Rule — Forward Data Clarification</w:t>
      </w:r>
    </w:p>
    <w:p>
      <w:r>
        <w:rPr>
          <w:b/>
          <w:i w:val="0"/>
        </w:rPr>
        <w:t>Section Affected: Part I, Temporal Boundary Rule</w:t>
      </w:r>
    </w:p>
    <w:p>
      <w:r>
        <w:rPr>
          <w:b/>
          <w:i w:val="0"/>
          <w:color w:val="D4AF37"/>
        </w:rPr>
        <w:t>Priority: MODERATE — Clarification, not functional change</w:t>
      </w:r>
    </w:p>
    <w:p>
      <w:pPr>
        <w:spacing w:before="80" w:after="80"/>
        <w:ind w:left="432"/>
        <w:shd w:val="clear" w:color="auto" w:fill="F0F4F8"/>
      </w:pPr>
      <w:r>
        <w:rPr>
          <w:rFonts w:ascii="Courier New" w:hAnsi="Courier New"/>
          <w:color w:val="0A1628"/>
          <w:sz w:val="18"/>
        </w:rPr>
        <w:t>INSERT after the Temporal Boundary Rule paragraph about the Friday 5:00 PM ET boundary:</w:t>
        <w:br/>
        <w:br/>
        <w:t>FORWARD DATA ON PUBLISHED PAGES: If a data source published on or before the temporal</w:t>
        <w:br/>
        <w:t>boundary contains forward-looking data (e.g., the May 4 investinglive.com page includes</w:t>
        <w:br/>
        <w:t>a preview of May 5 FX option expiries), that forward data IS permitted for use because</w:t>
        <w:br/>
        <w:t>it was publicly available as of the temporal boundary. The rule is about WHEN the data</w:t>
        <w:br/>
        <w:t>was published, not what date the data describes.</w:t>
        <w:br/>
        <w:br/>
        <w:t>However, the agent is FORBIDDEN from navigating to page URLs for dates beyond the</w:t>
        <w:br/>
        <w:t>temporal boundary. Only data visible on pages published on or before the boundary</w:t>
        <w:br/>
        <w:t>date may be used. Accessing a May 5 URL to get May 5 data is a violation, even if</w:t>
        <w:br/>
        <w:t>that data was published on May 4. The distinction is access method, not data date.</w:t>
      </w:r>
    </w:p>
    <w:p>
      <w:pPr>
        <w:spacing w:before="40" w:after="40"/>
        <w:pBdr>
          <w:bottom w:val="single" w:sz="6" w:space="1" w:color="D4AF37"/>
        </w:pBdr>
      </w:pPr>
    </w:p>
    <w:p>
      <w:pPr>
        <w:pStyle w:val="Heading1"/>
      </w:pPr>
      <w:r>
        <w:t>Impact Matrix &amp; Priority Ranking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Change #</w:t>
            </w:r>
          </w:p>
        </w:tc>
        <w:tc>
          <w:tcPr>
            <w:tcW w:type="dxa" w:w="1440"/>
          </w:tcPr>
          <w:p>
            <w:r>
              <w:rPr>
                <w:b/>
                <w:sz w:val="18"/>
              </w:rPr>
              <w:t>Description</w:t>
            </w:r>
          </w:p>
        </w:tc>
        <w:tc>
          <w:tcPr>
            <w:tcW w:type="dxa" w:w="1440"/>
          </w:tcPr>
          <w:p>
            <w:r>
              <w:rPr>
                <w:b/>
                <w:sz w:val="18"/>
              </w:rPr>
              <w:t>Priority</w:t>
            </w:r>
          </w:p>
        </w:tc>
        <w:tc>
          <w:tcPr>
            <w:tcW w:type="dxa" w:w="1440"/>
          </w:tcPr>
          <w:p>
            <w:r>
              <w:rPr>
                <w:b/>
                <w:sz w:val="18"/>
              </w:rPr>
              <w:t>Impact on RRR</w:t>
            </w:r>
          </w:p>
        </w:tc>
        <w:tc>
          <w:tcPr>
            <w:tcW w:type="dxa" w:w="1440"/>
          </w:tcPr>
          <w:p>
            <w:r>
              <w:rPr>
                <w:b/>
                <w:sz w:val="18"/>
              </w:rPr>
              <w:t>Implementation Effort</w:t>
            </w:r>
          </w:p>
        </w:tc>
        <w:tc>
          <w:tcPr>
            <w:tcW w:type="dxa" w:w="1440"/>
          </w:tcPr>
          <w:p>
            <w:r>
              <w:rPr>
                <w:b/>
                <w:sz w:val="18"/>
              </w:rPr>
              <w:t>Risk</w:t>
            </w:r>
          </w:p>
        </w:tc>
      </w:tr>
      <w:tr>
        <w:tc>
          <w:tcPr>
            <w:tcW w:type="dxa" w:w="1440"/>
          </w:tcPr>
          <w:p>
            <w:r>
              <w:rPr>
                <w:sz w:val="18"/>
              </w:rPr>
              <w:t>1</w:t>
            </w:r>
          </w:p>
        </w:tc>
        <w:tc>
          <w:tcPr>
            <w:tcW w:type="dxa" w:w="1440"/>
          </w:tcPr>
          <w:p>
            <w:r>
              <w:rPr>
                <w:sz w:val="18"/>
              </w:rPr>
              <w:t>Trade Structure Protocol (Part VII)</w:t>
            </w:r>
          </w:p>
        </w:tc>
        <w:tc>
          <w:tcPr>
            <w:tcW w:type="dxa" w:w="1440"/>
          </w:tcPr>
          <w:p>
            <w:r>
              <w:rPr>
                <w:sz w:val="18"/>
              </w:rPr>
              <w:t>CRITICAL</w:t>
            </w:r>
          </w:p>
        </w:tc>
        <w:tc>
          <w:tcPr>
            <w:tcW w:type="dxa" w:w="1440"/>
          </w:tcPr>
          <w:p>
            <w:r>
              <w:rPr>
                <w:sz w:val="18"/>
              </w:rPr>
              <w:t>2x -&gt; 10x potential</w:t>
            </w:r>
          </w:p>
        </w:tc>
        <w:tc>
          <w:tcPr>
            <w:tcW w:type="dxa" w:w="1440"/>
          </w:tcPr>
          <w:p>
            <w:r>
              <w:rPr>
                <w:sz w:val="18"/>
              </w:rPr>
              <w:t>High (new section)</w:t>
            </w:r>
          </w:p>
        </w:tc>
        <w:tc>
          <w:tcPr>
            <w:tcW w:type="dxa" w:w="1440"/>
          </w:tcPr>
          <w:p>
            <w:r>
              <w:rPr>
                <w:sz w:val="18"/>
              </w:rPr>
              <w:t>Low (additive)</w:t>
            </w:r>
          </w:p>
        </w:tc>
      </w:tr>
      <w:tr>
        <w:tc>
          <w:tcPr>
            <w:tcW w:type="dxa" w:w="1440"/>
          </w:tcPr>
          <w:p>
            <w:r>
              <w:rPr>
                <w:sz w:val="18"/>
              </w:rPr>
              <w:t>2</w:t>
            </w:r>
          </w:p>
        </w:tc>
        <w:tc>
          <w:tcPr>
            <w:tcW w:type="dxa" w:w="1440"/>
          </w:tcPr>
          <w:p>
            <w:r>
              <w:rPr>
                <w:sz w:val="18"/>
              </w:rPr>
              <w:t>Engine 2 Timeframe Standardization</w:t>
            </w:r>
          </w:p>
        </w:tc>
        <w:tc>
          <w:tcPr>
            <w:tcW w:type="dxa" w:w="1440"/>
          </w:tcPr>
          <w:p>
            <w:r>
              <w:rPr>
                <w:sz w:val="18"/>
              </w:rPr>
              <w:t>HIGH</w:t>
            </w:r>
          </w:p>
        </w:tc>
        <w:tc>
          <w:tcPr>
            <w:tcW w:type="dxa" w:w="1440"/>
          </w:tcPr>
          <w:p>
            <w:r>
              <w:rPr>
                <w:sz w:val="18"/>
              </w:rPr>
              <w:t>Shape accuracy +15-20%</w:t>
            </w:r>
          </w:p>
        </w:tc>
        <w:tc>
          <w:tcPr>
            <w:tcW w:type="dxa" w:w="1440"/>
          </w:tcPr>
          <w:p>
            <w:r>
              <w:rPr>
                <w:sz w:val="18"/>
              </w:rPr>
              <w:t>Low (insert text)</w:t>
            </w:r>
          </w:p>
        </w:tc>
        <w:tc>
          <w:tcPr>
            <w:tcW w:type="dxa" w:w="1440"/>
          </w:tcPr>
          <w:p>
            <w:r>
              <w:rPr>
                <w:sz w:val="18"/>
              </w:rPr>
              <w:t>Low</w:t>
            </w:r>
          </w:p>
        </w:tc>
      </w:tr>
      <w:tr>
        <w:tc>
          <w:tcPr>
            <w:tcW w:type="dxa" w:w="1440"/>
          </w:tcPr>
          <w:p>
            <w:r>
              <w:rPr>
                <w:sz w:val="18"/>
              </w:rPr>
              <w:t>3</w:t>
            </w:r>
          </w:p>
        </w:tc>
        <w:tc>
          <w:tcPr>
            <w:tcW w:type="dxa" w:w="1440"/>
          </w:tcPr>
          <w:p>
            <w:r>
              <w:rPr>
                <w:sz w:val="18"/>
              </w:rPr>
              <w:t>FX Option Notional Threshold Refinement</w:t>
            </w:r>
          </w:p>
        </w:tc>
        <w:tc>
          <w:tcPr>
            <w:tcW w:type="dxa" w:w="1440"/>
          </w:tcPr>
          <w:p>
            <w:r>
              <w:rPr>
                <w:sz w:val="18"/>
              </w:rPr>
              <w:t>MODERATE</w:t>
            </w:r>
          </w:p>
        </w:tc>
        <w:tc>
          <w:tcPr>
            <w:tcW w:type="dxa" w:w="1440"/>
          </w:tcPr>
          <w:p>
            <w:r>
              <w:rPr>
                <w:sz w:val="18"/>
              </w:rPr>
              <w:t>Signal-to-noise +30%</w:t>
            </w:r>
          </w:p>
        </w:tc>
        <w:tc>
          <w:tcPr>
            <w:tcW w:type="dxa" w:w="1440"/>
          </w:tcPr>
          <w:p>
            <w:r>
              <w:rPr>
                <w:sz w:val="18"/>
              </w:rPr>
              <w:t>Medium (rewrite tables)</w:t>
            </w:r>
          </w:p>
        </w:tc>
        <w:tc>
          <w:tcPr>
            <w:tcW w:type="dxa" w:w="1440"/>
          </w:tcPr>
          <w:p>
            <w:r>
              <w:rPr>
                <w:sz w:val="18"/>
              </w:rPr>
              <w:t>Medium (may exclude valid levels)</w:t>
            </w:r>
          </w:p>
        </w:tc>
      </w:tr>
      <w:tr>
        <w:tc>
          <w:tcPr>
            <w:tcW w:type="dxa" w:w="1440"/>
          </w:tcPr>
          <w:p>
            <w:r>
              <w:rPr>
                <w:sz w:val="18"/>
              </w:rPr>
              <w:t>4</w:t>
            </w:r>
          </w:p>
        </w:tc>
        <w:tc>
          <w:tcPr>
            <w:tcW w:type="dxa" w:w="1440"/>
          </w:tcPr>
          <w:p>
            <w:r>
              <w:rPr>
                <w:sz w:val="18"/>
              </w:rPr>
              <w:t>Post-Zone-Map Gap Scan</w:t>
            </w:r>
          </w:p>
        </w:tc>
        <w:tc>
          <w:tcPr>
            <w:tcW w:type="dxa" w:w="1440"/>
          </w:tcPr>
          <w:p>
            <w:r>
              <w:rPr>
                <w:sz w:val="18"/>
              </w:rPr>
              <w:t>MODERATE</w:t>
            </w:r>
          </w:p>
        </w:tc>
        <w:tc>
          <w:tcPr>
            <w:tcW w:type="dxa" w:w="1440"/>
          </w:tcPr>
          <w:p>
            <w:r>
              <w:rPr>
                <w:sz w:val="18"/>
              </w:rPr>
              <w:t>Catch 1-3 missed levels/week</w:t>
            </w:r>
          </w:p>
        </w:tc>
        <w:tc>
          <w:tcPr>
            <w:tcW w:type="dxa" w:w="1440"/>
          </w:tcPr>
          <w:p>
            <w:r>
              <w:rPr>
                <w:sz w:val="18"/>
              </w:rPr>
              <w:t>Medium (new algorithm step)</w:t>
            </w:r>
          </w:p>
        </w:tc>
        <w:tc>
          <w:tcPr>
            <w:tcW w:type="dxa" w:w="1440"/>
          </w:tcPr>
          <w:p>
            <w:r>
              <w:rPr>
                <w:sz w:val="18"/>
              </w:rPr>
              <w:t>Low</w:t>
            </w:r>
          </w:p>
        </w:tc>
      </w:tr>
      <w:tr>
        <w:tc>
          <w:tcPr>
            <w:tcW w:type="dxa" w:w="1440"/>
          </w:tcPr>
          <w:p>
            <w:r>
              <w:rPr>
                <w:sz w:val="18"/>
              </w:rPr>
              <w:t>5</w:t>
            </w:r>
          </w:p>
        </w:tc>
        <w:tc>
          <w:tcPr>
            <w:tcW w:type="dxa" w:w="1440"/>
          </w:tcPr>
          <w:p>
            <w:r>
              <w:rPr>
                <w:sz w:val="18"/>
              </w:rPr>
              <w:t>Breakout Risk Amplification</w:t>
            </w:r>
          </w:p>
        </w:tc>
        <w:tc>
          <w:tcPr>
            <w:tcW w:type="dxa" w:w="1440"/>
          </w:tcPr>
          <w:p>
            <w:r>
              <w:rPr>
                <w:sz w:val="18"/>
              </w:rPr>
              <w:t>HIGH</w:t>
            </w:r>
          </w:p>
        </w:tc>
        <w:tc>
          <w:tcPr>
            <w:tcW w:type="dxa" w:w="1440"/>
          </w:tcPr>
          <w:p>
            <w:r>
              <w:rPr>
                <w:sz w:val="18"/>
              </w:rPr>
              <w:t>Converts risk call -&gt; trade</w:t>
            </w:r>
          </w:p>
        </w:tc>
        <w:tc>
          <w:tcPr>
            <w:tcW w:type="dxa" w:w="1440"/>
          </w:tcPr>
          <w:p>
            <w:r>
              <w:rPr>
                <w:sz w:val="18"/>
              </w:rPr>
              <w:t>Medium (expand Pillar 9)</w:t>
            </w:r>
          </w:p>
        </w:tc>
        <w:tc>
          <w:tcPr>
            <w:tcW w:type="dxa" w:w="1440"/>
          </w:tcPr>
          <w:p>
            <w:r>
              <w:rPr>
                <w:sz w:val="18"/>
              </w:rPr>
              <w:t>Low</w:t>
            </w:r>
          </w:p>
        </w:tc>
      </w:tr>
      <w:tr>
        <w:tc>
          <w:tcPr>
            <w:tcW w:type="dxa" w:w="1440"/>
          </w:tcPr>
          <w:p>
            <w:r>
              <w:rPr>
                <w:sz w:val="18"/>
              </w:rPr>
              <w:t>6</w:t>
            </w:r>
          </w:p>
        </w:tc>
        <w:tc>
          <w:tcPr>
            <w:tcW w:type="dxa" w:w="1440"/>
          </w:tcPr>
          <w:p>
            <w:r>
              <w:rPr>
                <w:sz w:val="18"/>
              </w:rPr>
              <w:t>Trade Setup Integration (Engine 2)</w:t>
            </w:r>
          </w:p>
        </w:tc>
        <w:tc>
          <w:tcPr>
            <w:tcW w:type="dxa" w:w="1440"/>
          </w:tcPr>
          <w:p>
            <w:r>
              <w:rPr>
                <w:sz w:val="18"/>
              </w:rPr>
              <w:t>CRITICAL</w:t>
            </w:r>
          </w:p>
        </w:tc>
        <w:tc>
          <w:tcPr>
            <w:tcW w:type="dxa" w:w="1440"/>
          </w:tcPr>
          <w:p>
            <w:r>
              <w:rPr>
                <w:sz w:val="18"/>
              </w:rPr>
              <w:t>Enables trade flow continuity</w:t>
            </w:r>
          </w:p>
        </w:tc>
        <w:tc>
          <w:tcPr>
            <w:tcW w:type="dxa" w:w="1440"/>
          </w:tcPr>
          <w:p>
            <w:r>
              <w:rPr>
                <w:sz w:val="18"/>
              </w:rPr>
              <w:t>Medium (revise format)</w:t>
            </w:r>
          </w:p>
        </w:tc>
        <w:tc>
          <w:tcPr>
            <w:tcW w:type="dxa" w:w="1440"/>
          </w:tcPr>
          <w:p>
            <w:r>
              <w:rPr>
                <w:sz w:val="18"/>
              </w:rPr>
              <w:t>Low</w:t>
            </w:r>
          </w:p>
        </w:tc>
      </w:tr>
      <w:tr>
        <w:tc>
          <w:tcPr>
            <w:tcW w:type="dxa" w:w="1440"/>
          </w:tcPr>
          <w:p>
            <w:r>
              <w:rPr>
                <w:sz w:val="18"/>
              </w:rPr>
              <w:t>7</w:t>
            </w:r>
          </w:p>
        </w:tc>
        <w:tc>
          <w:tcPr>
            <w:tcW w:type="dxa" w:w="1440"/>
          </w:tcPr>
          <w:p>
            <w:r>
              <w:rPr>
                <w:sz w:val="18"/>
              </w:rPr>
              <w:t>Temporal Boundary Forward Data</w:t>
            </w:r>
          </w:p>
        </w:tc>
        <w:tc>
          <w:tcPr>
            <w:tcW w:type="dxa" w:w="1440"/>
          </w:tcPr>
          <w:p>
            <w:r>
              <w:rPr>
                <w:sz w:val="18"/>
              </w:rPr>
              <w:t>MODERATE</w:t>
            </w:r>
          </w:p>
        </w:tc>
        <w:tc>
          <w:tcPr>
            <w:tcW w:type="dxa" w:w="1440"/>
          </w:tcPr>
          <w:p>
            <w:r>
              <w:rPr>
                <w:sz w:val="18"/>
              </w:rPr>
              <w:t>Clarification only</w:t>
            </w:r>
          </w:p>
        </w:tc>
        <w:tc>
          <w:tcPr>
            <w:tcW w:type="dxa" w:w="1440"/>
          </w:tcPr>
          <w:p>
            <w:r>
              <w:rPr>
                <w:sz w:val="18"/>
              </w:rPr>
              <w:t>Low (insert text)</w:t>
            </w:r>
          </w:p>
        </w:tc>
        <w:tc>
          <w:tcPr>
            <w:tcW w:type="dxa" w:w="1440"/>
          </w:tcPr>
          <w:p>
            <w:r>
              <w:rPr>
                <w:sz w:val="18"/>
              </w:rPr>
              <w:t>None</w:t>
            </w:r>
          </w:p>
        </w:tc>
      </w:tr>
    </w:tbl>
    <w:p/>
    <w:p>
      <w:r>
        <w:rPr>
          <w:b w:val="0"/>
          <w:i w:val="0"/>
        </w:rPr>
        <w:t>Recommended Implementation Order: 1 -&gt; 6 -&gt; 2 -&gt; 5 -&gt; 4 -&gt; 3 -&gt; 7</w:t>
        <w:br/>
        <w:t>The Trade Structure Protocol and Trade Setup Integration are the highest-impact changes and should be implemented first. Timeframe standardization and Breakout Risk Amplification are quick wins. The Gap Scan and Notional Threshold are medium-term optimizations. The Temporal Boundary clarification is administrative.</w:t>
      </w:r>
    </w:p>
    <w:p>
      <w:pPr>
        <w:spacing w:before="40" w:after="40"/>
        <w:pBdr>
          <w:bottom w:val="single" w:sz="6" w:space="1" w:color="D4AF37"/>
        </w:pBdr>
      </w:pPr>
    </w:p>
    <w:p>
      <w:pPr>
        <w:pStyle w:val="Heading1"/>
      </w:pPr>
      <w:r>
        <w:t>What Is NOT Changing (Confirmed Sound)</w:t>
      </w:r>
    </w:p>
    <w:p>
      <w:r>
        <w:rPr>
          <w:b w:val="0"/>
          <w:i w:val="0"/>
        </w:rPr>
        <w:t>The following components of v4.4 are confirmed as fundamentally sound based on the live deployment and will NOT be modified in v4.5:</w:t>
      </w:r>
    </w:p>
    <w:p>
      <w:pPr>
        <w:pStyle w:val="ListBullet"/>
      </w:pPr>
      <w:r>
        <w:t>9-Pillar 6D Hybrid System architecture — correctly identified A/A- level zones</w:t>
      </w:r>
    </w:p>
    <w:p>
      <w:pPr>
        <w:pStyle w:val="ListBullet"/>
      </w:pPr>
      <w:r>
        <w:t>Pillar 9 ZFP methodology — the 30% ZFP breakout risk call was hyper-accurate</w:t>
      </w:r>
    </w:p>
    <w:p>
      <w:pPr>
        <w:pStyle w:val="ListBullet"/>
      </w:pPr>
      <w:r>
        <w:t>Measured Move Projection — correct when anchored to Structural Extreme Magnets</w:t>
      </w:r>
    </w:p>
    <w:p>
      <w:pPr>
        <w:pStyle w:val="ListBullet"/>
      </w:pPr>
      <w:r>
        <w:t>Pillar 5 Step 0/0.5 Structural Extreme identification — correctly identified Confluent Floors and Liquidity Sweep Targets</w:t>
      </w:r>
    </w:p>
    <w:p>
      <w:pPr>
        <w:pStyle w:val="ListBullet"/>
      </w:pPr>
      <w:r>
        <w:t>Pillar 8 EUR/USD Strike-to-DXY Primary Conversion — accurate level conversion</w:t>
      </w:r>
    </w:p>
    <w:p>
      <w:pPr>
        <w:pStyle w:val="ListBullet"/>
      </w:pPr>
      <w:r>
        <w:t>Macro Shape Taxonomy (4 base + 6 variants) — no new shapes needed</w:t>
      </w:r>
    </w:p>
    <w:p>
      <w:pPr>
        <w:pStyle w:val="ListBullet"/>
      </w:pPr>
      <w:r>
        <w:t>Shape Transition Rules — deterministic chain mapping is sound</w:t>
      </w:r>
    </w:p>
    <w:p>
      <w:pPr>
        <w:pStyle w:val="ListBullet"/>
      </w:pPr>
      <w:r>
        <w:t>SS -&gt; BS -&gt; R -&gt; WL default chain — confirmed as most common</w:t>
      </w:r>
    </w:p>
    <w:p>
      <w:pPr>
        <w:pStyle w:val="ListBullet"/>
      </w:pPr>
      <w:r>
        <w:t>NY Cut Cage / Spring Release mechanics — correctly modeled</w:t>
      </w:r>
    </w:p>
    <w:p>
      <w:pPr>
        <w:pStyle w:val="ListBullet"/>
      </w:pPr>
      <w:r>
        <w:t>IL Levels Are Cause Not Effect principle — foundational and correct</w:t>
      </w:r>
    </w:p>
    <w:p>
      <w:pPr>
        <w:pStyle w:val="ListBullet"/>
      </w:pPr>
      <w:r>
        <w:t>Zero-Tolerance Code and Temporal Boundary Rule — essential guardrails, no relaxation</w:t>
      </w:r>
    </w:p>
    <w:p>
      <w:pPr>
        <w:pStyle w:val="ListBullet"/>
      </w:pPr>
      <w:r>
        <w:t>Anti-Slop Rule — prevents behavioral generalizations, critical for precision</w:t>
      </w:r>
    </w:p>
    <w:p>
      <w:pPr>
        <w:spacing w:before="40" w:after="40"/>
        <w:pBdr>
          <w:bottom w:val="single" w:sz="6" w:space="1" w:color="D4AF37"/>
        </w:pBdr>
      </w:pPr>
    </w:p>
    <w:p>
      <w:pPr>
        <w:pStyle w:val="Heading1"/>
      </w:pPr>
      <w:r>
        <w:t>Appendix: Live Deployment Performance Summary</w:t>
      </w:r>
    </w:p>
    <w:p>
      <w:pPr>
        <w:pStyle w:val="Heading2"/>
      </w:pPr>
      <w:r>
        <w:t>IP Zone Mapping: A/A-</w:t>
      </w:r>
    </w:p>
    <w:p>
      <w:r>
        <w:rPr>
          <w:b w:val="0"/>
          <w:i w:val="0"/>
        </w:rPr>
        <w:t>Orange zones (resistance), green zones (mid-range), teal zones (support) were accurately mapped. The system missed 1 zone and 3 minor levels (marked gold on the user chart). The upper range was not tested during the week but was tested the following week, confirming the zone was structurally valid even though it appeared "too far" at the time. This validates the "IL Levels Are Cause Not Effect" principle — distance from spot does not invalidate a level.</w:t>
      </w:r>
    </w:p>
    <w:p>
      <w:pPr>
        <w:pStyle w:val="Heading2"/>
      </w:pPr>
      <w:r>
        <w:t>Breakout Risk Call: A+</w:t>
      </w:r>
    </w:p>
    <w:p>
      <w:r>
        <w:rPr>
          <w:b w:val="0"/>
          <w:i w:val="0"/>
        </w:rPr>
        <w:t>The "BREAKOUT RISK: MID-RANGE SUPPORT (97.80-98.00) - Failure Probability: 30%" call was the single best prediction of the week. It predicted the exact 4H BoM Demand Zone OB that started Thursday's breakout surge with only 0.02 DXY points of deviation. This demonstrates that the ZFP methodology is working correctly when the input data is accurate.</w:t>
      </w:r>
    </w:p>
    <w:p>
      <w:pPr>
        <w:pStyle w:val="Heading2"/>
      </w:pPr>
      <w:r>
        <w:t>Trade Structure: C+</w:t>
      </w:r>
    </w:p>
    <w:p>
      <w:r>
        <w:rPr>
          <w:b w:val="0"/>
          <w:i w:val="0"/>
        </w:rPr>
        <w:t>Entries were imprecise (zone centers instead of zone edges), stop losses were too wide (anchored to distant levels instead of nearest structural zones), take profits were disconnected (not flowing into the next trade), and only single entries were proposed instead of scaled entries. The net result was 2x RRR when 10x was achievable with the same zones but better execution mechanics. This is the primary area for v4.5 improvement.</w:t>
      </w:r>
    </w:p>
    <w:p>
      <w:pPr>
        <w:pStyle w:val="Heading2"/>
      </w:pPr>
      <w:r>
        <w:t>Macro Shape Analysis: B/B+</w:t>
      </w:r>
    </w:p>
    <w:p>
      <w:r>
        <w:rPr>
          <w:b w:val="0"/>
          <w:i w:val="0"/>
        </w:rPr>
        <w:t>Mon+Tues SS prediction was correct. The rest of the week was not necessarily incorrect but was late, used wrong variants, or was classified at the wrong granularity. The 1H timeframe produced dramatically cleaner shape identification than the 30m. Moving to mandatory 1H as the primary timeframe is expected to improve shape accuracy from B/B+ to 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1820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2027"/>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2027"/>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F2027"/>
      <w:sz w:val="24"/>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0F202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