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b w:val="0"/>
          <w:rtl w:val="0"/>
        </w:rPr>
        <w:t xml:space="preserve">EquiQuiz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</w:t>
      </w:r>
      <w:r w:rsidDel="00000000" w:rsidR="00000000" w:rsidRPr="00000000"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</w:t>
      </w:r>
      <w:r w:rsidDel="00000000" w:rsidR="00000000" w:rsidRPr="00000000"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</w:t>
      </w:r>
      <w:r w:rsidDel="00000000" w:rsidR="00000000" w:rsidRPr="00000000"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color w:val="0000ee"/>
            <w:u w:val="single"/>
            <w:rtl w:val="0"/>
          </w:rPr>
          <w:t xml:space="preserve">Levi Josue CANDEIAS DE FIGUEIREDO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line="276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Maria Vidigal Barroso</w:t>
      </w:r>
    </w:p>
    <w:p w:rsidR="00000000" w:rsidDel="00000000" w:rsidP="00000000" w:rsidRDefault="00000000" w:rsidRPr="00000000" w14:paraId="00000008">
      <w:pPr>
        <w:spacing w:after="140" w:line="276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Zeus Martin Llera</w:t>
      </w:r>
    </w:p>
    <w:p w:rsidR="00000000" w:rsidDel="00000000" w:rsidP="00000000" w:rsidRDefault="00000000" w:rsidRPr="00000000" w14:paraId="00000009">
      <w:pPr>
        <w:spacing w:after="140" w:line="276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Carlos Rodriguez Botello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exend" w:cs="Lexend" w:eastAsia="Lexend" w:hAnsi="Lexe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jc w:val="both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jc w:val="both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Este documento enumera los grupos interesados en el proyecto (actores/stakeholders) y sus intereses en él.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rPr/>
      </w:pPr>
      <w:bookmarkStart w:colFirst="0" w:colLast="0" w:name="_i8ekz0tzp1lj" w:id="0"/>
      <w:bookmarkEnd w:id="0"/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 w14:paraId="00000010">
      <w:pPr>
        <w:pStyle w:val="Heading2"/>
        <w:keepNext w:val="0"/>
        <w:rPr/>
      </w:pPr>
      <w:bookmarkStart w:colFirst="0" w:colLast="0" w:name="_jpolg0vfkc9t" w:id="1"/>
      <w:bookmarkEnd w:id="1"/>
      <w:r w:rsidDel="00000000" w:rsidR="00000000" w:rsidRPr="00000000">
        <w:rPr>
          <w:rtl w:val="0"/>
        </w:rPr>
        <w:t xml:space="preserve">Jugadores (Usuarios)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Aprender sobre la equidad de género a través de decisiones interactivas.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Reflexionar sobre las consecuencias de sus elecciones en la vida de los personajes.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Mejorar su comprensión de la diferencia entre equidad e igualdad de género.</w:t>
      </w:r>
    </w:p>
    <w:p w:rsidR="00000000" w:rsidDel="00000000" w:rsidP="00000000" w:rsidRDefault="00000000" w:rsidRPr="00000000" w14:paraId="00000014">
      <w:pPr>
        <w:pStyle w:val="Heading2"/>
        <w:keepNext w:val="0"/>
        <w:rPr/>
      </w:pPr>
      <w:bookmarkStart w:colFirst="0" w:colLast="0" w:name="_1y4p3xb5qhae" w:id="2"/>
      <w:bookmarkEnd w:id="2"/>
      <w:r w:rsidDel="00000000" w:rsidR="00000000" w:rsidRPr="00000000">
        <w:rPr>
          <w:rtl w:val="0"/>
        </w:rPr>
        <w:t xml:space="preserve">Educadores/Facilitadores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Utilizar el juego para fomentar discusiones sobre equidad de género en el aula.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Evaluar el impacto del juego en la comprensión de los estudiantes sobre el tema.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Proporcionar retroalimentación para mejorar el contenido del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rPr/>
      </w:pPr>
      <w:bookmarkStart w:colFirst="0" w:colLast="0" w:name="_oz06naw1zdie" w:id="3"/>
      <w:bookmarkEnd w:id="3"/>
      <w:r w:rsidDel="00000000" w:rsidR="00000000" w:rsidRPr="00000000">
        <w:rPr>
          <w:rtl w:val="0"/>
        </w:rPr>
        <w:t xml:space="preserve">Administradores de la Aplicación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Mantener y actualizar la base de datos de preguntas y respuestas.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Gestionar el ranking de puntuaciones y asegurar la integridad de los datos.</w:t>
      </w:r>
    </w:p>
    <w:p w:rsidR="00000000" w:rsidDel="00000000" w:rsidP="00000000" w:rsidRDefault="00000000" w:rsidRPr="00000000" w14:paraId="0000001B">
      <w:pPr>
        <w:pStyle w:val="Heading2"/>
        <w:keepNext w:val="0"/>
        <w:rPr/>
      </w:pPr>
      <w:bookmarkStart w:colFirst="0" w:colLast="0" w:name="_pxubq41dr3n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rPr/>
      </w:pPr>
      <w:bookmarkStart w:colFirst="0" w:colLast="0" w:name="_rr7u7g4xud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rPr/>
      </w:pPr>
      <w:bookmarkStart w:colFirst="0" w:colLast="0" w:name="_xmbae2fjw18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rPr/>
      </w:pPr>
      <w:bookmarkStart w:colFirst="0" w:colLast="0" w:name="_os4gv01014pw" w:id="7"/>
      <w:bookmarkEnd w:id="7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Sensibilización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Aumentar la conciencia sobre la equidad de género y la coeducación entre los jóvenes adultos.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Educación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Proporcionar información clara y accesible sobre el verdadero significado de la equidad de género y su diferencia con la igualdad.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Interacción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Fomentar la participación activa de los jugadores a través de decisiones que impactan en el desarrollo del juego y en la vida de los personajes.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Reflexión Crítica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Estimular la reflexión sobre las decisiones tomadas y sus consecuencias en la vida real, promoviendo un pensamiento crítico sobre la equidad de género.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Accesibilidad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Asegurar que la aplicación sea accesible para todos los jóvenes adultos, independientemente de su nivel de conocimiento previo sobre el tema.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Evaluación del Impacto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Medir el impacto del juego en la comprensión y actitudes de los jugadores hacia la equidad de género a través de la recopilación de datos y retroalimentación.</w:t>
      </w:r>
    </w:p>
    <w:p w:rsidR="00000000" w:rsidDel="00000000" w:rsidP="00000000" w:rsidRDefault="00000000" w:rsidRPr="00000000" w14:paraId="00000025">
      <w:pPr>
        <w:pageBreakBefore w:val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Liberation Sans"/>
  <w:font w:name="FreeSans"/>
  <w:font w:name="Lexend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tabs>
        <w:tab w:val="center" w:leader="none" w:pos="4252"/>
        <w:tab w:val="right" w:leader="none" w:pos="8504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2C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2D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2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3">
    <w:pPr>
      <w:pageBreakBefore w:val="0"/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ind w:left="6377.952755905511" w:firstLine="0"/>
      <w:jc w:val="right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-371474</wp:posOffset>
          </wp:positionV>
          <wp:extent cx="1759842" cy="10287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842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pageBreakBefore w:val="0"/>
      <w:ind w:left="6377.952755905511" w:firstLine="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EquiQuiz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spacing w:line="276" w:lineRule="auto"/>
      <w:ind w:left="6377.952755905511" w:firstLine="0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spacing w:after="200" w:line="276" w:lineRule="auto"/>
      <w:ind w:left="6377.952755905511" w:firstLine="0"/>
      <w:rPr>
        <w:rFonts w:ascii="FreeSans" w:cs="FreeSans" w:eastAsia="FreeSans" w:hAnsi="FreeSans"/>
        <w:b w:val="0"/>
        <w:i w:val="0"/>
        <w:smallCaps w:val="0"/>
        <w:strike w:val="0"/>
        <w:color w:val="2a609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shd w:fill="ffffff" w:val="clear"/>
      <w:tabs>
        <w:tab w:val="center" w:leader="none" w:pos="4819"/>
        <w:tab w:val="right" w:leader="none" w:pos="9638"/>
      </w:tabs>
      <w:rPr>
        <w:rFonts w:ascii="FreeSans" w:cs="FreeSans" w:eastAsia="FreeSans" w:hAnsi="FreeSans"/>
        <w:b w:val="1"/>
        <w:color w:val="2a60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ageBreakBefore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b w:val="1"/>
      <w:color w:val="2a6099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evijosuecandeiasdefigueiredo.guadalupe@alumnado.fundacionloyola.ne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