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6EFC" w14:textId="4824C023" w:rsidR="000C0197" w:rsidRPr="005F637E" w:rsidRDefault="005F637E" w:rsidP="007568B8">
      <w:pPr>
        <w:bidi w:val="0"/>
        <w:rPr>
          <w:b/>
          <w:bCs/>
        </w:rPr>
      </w:pPr>
      <w:r w:rsidRPr="005F637E">
        <w:rPr>
          <w:b/>
          <w:bCs/>
        </w:rPr>
        <w:t>Codon Adaptation Index</w:t>
      </w:r>
      <w:r w:rsidR="007439ED">
        <w:rPr>
          <w:b/>
          <w:bCs/>
        </w:rPr>
        <w:t xml:space="preserve"> (CAI)</w:t>
      </w:r>
      <w:r w:rsidR="000C0197" w:rsidRPr="005F637E">
        <w:rPr>
          <w:b/>
          <w:bCs/>
        </w:rPr>
        <w:t>:</w:t>
      </w:r>
    </w:p>
    <w:p w14:paraId="5EB476CC" w14:textId="1B8016F4" w:rsidR="0002563F" w:rsidRDefault="005F637E" w:rsidP="00690499">
      <w:pPr>
        <w:bidi w:val="0"/>
      </w:pPr>
      <w:r w:rsidRPr="005F637E">
        <w:t>Th</w:t>
      </w:r>
      <w:r w:rsidR="007439ED">
        <w:t>e Codon Adaptation</w:t>
      </w:r>
      <w:r w:rsidRPr="005F637E">
        <w:t xml:space="preserve"> index uses a reference set of </w:t>
      </w:r>
      <w:r w:rsidRPr="005F637E">
        <w:rPr>
          <w:color w:val="FF0000"/>
        </w:rPr>
        <w:t xml:space="preserve">highly expressed genes </w:t>
      </w:r>
      <w:r w:rsidRPr="005F637E">
        <w:t xml:space="preserve">from a </w:t>
      </w:r>
      <w:r w:rsidR="00AB2EBB">
        <w:t xml:space="preserve">specific </w:t>
      </w:r>
      <w:r w:rsidRPr="005F637E">
        <w:t>species</w:t>
      </w:r>
      <w:r>
        <w:t>,</w:t>
      </w:r>
      <w:r w:rsidRPr="005F637E">
        <w:t xml:space="preserve"> to assess the </w:t>
      </w:r>
      <w:r>
        <w:t>relative frequency</w:t>
      </w:r>
      <w:r w:rsidRPr="005F637E">
        <w:t xml:space="preserve"> of each codon</w:t>
      </w:r>
      <w:r>
        <w:t xml:space="preserve"> </w:t>
      </w:r>
      <w:r w:rsidR="008F60B1">
        <w:t>with respect to</w:t>
      </w:r>
      <w:r>
        <w:t xml:space="preserve"> </w:t>
      </w:r>
      <w:r w:rsidR="008F60B1">
        <w:t>its</w:t>
      </w:r>
      <w:r>
        <w:t xml:space="preserve"> synonymous codons</w:t>
      </w:r>
      <w:r w:rsidRPr="005F637E">
        <w:t xml:space="preserve"> and </w:t>
      </w:r>
      <w:r>
        <w:t>the</w:t>
      </w:r>
      <w:r w:rsidRPr="005F637E">
        <w:t xml:space="preserve"> </w:t>
      </w:r>
      <w:r w:rsidR="004B51DC">
        <w:t xml:space="preserve">total </w:t>
      </w:r>
      <w:r w:rsidRPr="005F637E">
        <w:t xml:space="preserve">score for </w:t>
      </w:r>
      <w:r w:rsidR="00690499">
        <w:t>the</w:t>
      </w:r>
      <w:r w:rsidRPr="005F637E">
        <w:t xml:space="preserve"> gene</w:t>
      </w:r>
      <w:r w:rsidR="008F60B1">
        <w:t xml:space="preserve"> [1]</w:t>
      </w:r>
      <w:r w:rsidR="004B51DC">
        <w:t>.</w:t>
      </w:r>
      <w:r w:rsidR="00690499">
        <w:t xml:space="preserve"> </w:t>
      </w:r>
      <w:r w:rsidR="00AB2EBB">
        <w:t>The calculation is performed</w:t>
      </w:r>
      <w:r w:rsidR="007568B8">
        <w:t xml:space="preserve"> according to the following algorithm:</w:t>
      </w:r>
    </w:p>
    <w:p w14:paraId="14807514" w14:textId="6A4304F1" w:rsidR="007568B8" w:rsidRDefault="007568B8" w:rsidP="007568B8">
      <w:pPr>
        <w:pStyle w:val="ListParagraph"/>
        <w:numPr>
          <w:ilvl w:val="0"/>
          <w:numId w:val="1"/>
        </w:numPr>
        <w:bidi w:val="0"/>
      </w:pPr>
      <w:r w:rsidRPr="00B032A6">
        <w:rPr>
          <w:u w:val="single"/>
        </w:rPr>
        <w:t>Calculat</w:t>
      </w:r>
      <w:r w:rsidR="003D2007">
        <w:rPr>
          <w:u w:val="single"/>
        </w:rPr>
        <w:t>ion of</w:t>
      </w:r>
      <w:r w:rsidRPr="00B032A6">
        <w:rPr>
          <w:u w:val="single"/>
        </w:rPr>
        <w:t xml:space="preserve"> the weight for each codon</w:t>
      </w:r>
      <w:r>
        <w:t xml:space="preserve"> – based on a reference </w:t>
      </w:r>
      <w:r w:rsidR="00690499">
        <w:t>set</w:t>
      </w:r>
      <w:r w:rsidRPr="007568B8">
        <w:rPr>
          <w:color w:val="FF0000"/>
        </w:rPr>
        <w:t xml:space="preserve"> </w:t>
      </w:r>
      <w:r w:rsidR="00690499">
        <w:t>a weight is given</w:t>
      </w:r>
      <w:r>
        <w:t xml:space="preserve"> for each codon in </w:t>
      </w:r>
      <w:r w:rsidR="003D2007">
        <w:t xml:space="preserve">a </w:t>
      </w:r>
      <w:r>
        <w:t>range of (0, 1], when weight of 1 indicates to an optimal codon</w:t>
      </w:r>
      <w:r w:rsidR="00367D0C">
        <w:t>. The formula is:</w:t>
      </w:r>
    </w:p>
    <w:p w14:paraId="355CC38F" w14:textId="7AC85934" w:rsidR="00367D0C" w:rsidRDefault="00367D0C" w:rsidP="00367D0C">
      <w:pPr>
        <w:pStyle w:val="ListParagraph"/>
        <w:bidi w:val="0"/>
      </w:pPr>
      <w:r w:rsidRPr="008E7818">
        <w:rPr>
          <w:rFonts w:asciiTheme="majorHAnsi" w:eastAsiaTheme="minorEastAsia" w:hAnsiTheme="majorHAnsi" w:cs="Calibri Light"/>
          <w:noProof/>
          <w:sz w:val="20"/>
          <w:szCs w:val="20"/>
          <w:rtl/>
        </w:rPr>
        <w:drawing>
          <wp:anchor distT="0" distB="0" distL="114300" distR="114300" simplePos="0" relativeHeight="251659264" behindDoc="1" locked="0" layoutInCell="1" allowOverlap="1" wp14:anchorId="4F83747F" wp14:editId="73AACEB1">
            <wp:simplePos x="0" y="0"/>
            <wp:positionH relativeFrom="column">
              <wp:posOffset>718834</wp:posOffset>
            </wp:positionH>
            <wp:positionV relativeFrom="paragraph">
              <wp:posOffset>4981</wp:posOffset>
            </wp:positionV>
            <wp:extent cx="2321560" cy="524510"/>
            <wp:effectExtent l="0" t="0" r="2540" b="8890"/>
            <wp:wrapTight wrapText="bothSides">
              <wp:wrapPolygon edited="0">
                <wp:start x="0" y="0"/>
                <wp:lineTo x="0" y="21182"/>
                <wp:lineTo x="21446" y="21182"/>
                <wp:lineTo x="21446" y="0"/>
                <wp:lineTo x="0" y="0"/>
              </wp:wrapPolygon>
            </wp:wrapTight>
            <wp:docPr id="47" name="Picture 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 with medium confidence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() </w:t>
      </w:r>
    </w:p>
    <w:p w14:paraId="7313184C" w14:textId="3E9817EA" w:rsidR="00367D0C" w:rsidRDefault="00367D0C" w:rsidP="00367D0C">
      <w:pPr>
        <w:pStyle w:val="ListParagraph"/>
        <w:bidi w:val="0"/>
      </w:pPr>
    </w:p>
    <w:p w14:paraId="6BDA5308" w14:textId="31B050BE" w:rsidR="00367D0C" w:rsidRDefault="00367D0C" w:rsidP="00367D0C">
      <w:pPr>
        <w:pStyle w:val="ListParagraph"/>
        <w:bidi w:val="0"/>
      </w:pPr>
    </w:p>
    <w:p w14:paraId="54166629" w14:textId="7A5A0443" w:rsidR="00367D0C" w:rsidRDefault="00367D0C" w:rsidP="00367D0C">
      <w:pPr>
        <w:pStyle w:val="ListParagraph"/>
        <w:bidi w:val="0"/>
      </w:pPr>
    </w:p>
    <w:p w14:paraId="6A628895" w14:textId="3D3F606D" w:rsidR="00367D0C" w:rsidRDefault="00367D0C" w:rsidP="00367D0C">
      <w:pPr>
        <w:pStyle w:val="ListParagraph"/>
        <w:bidi w:val="0"/>
      </w:pPr>
      <w:r>
        <w:t xml:space="preserve">The weight of </w:t>
      </w:r>
      <w:r w:rsidR="00D97D6C">
        <w:t>the</w:t>
      </w:r>
      <w:r>
        <w:t xml:space="preserve"> i</w:t>
      </w:r>
      <w:r w:rsidR="00D97D6C">
        <w:t>_th codon</w:t>
      </w:r>
      <w:r>
        <w:t xml:space="preserve"> of amino acid x</w:t>
      </w:r>
      <w:r w:rsidR="008243E6">
        <w:t xml:space="preserve"> is equal to </w:t>
      </w:r>
      <w:r>
        <w:t xml:space="preserve">the number of </w:t>
      </w:r>
      <w:r w:rsidR="003D2007">
        <w:t xml:space="preserve">appearances of </w:t>
      </w:r>
      <w:r>
        <w:t>codon</w:t>
      </w:r>
      <w:r w:rsidR="008243E6">
        <w:t xml:space="preserve"> i</w:t>
      </w:r>
      <w:r>
        <w:t xml:space="preserve"> (xi) dividing with the number of </w:t>
      </w:r>
      <w:r w:rsidR="003D2007">
        <w:t xml:space="preserve">appearances of </w:t>
      </w:r>
      <w:r>
        <w:t>the most common codon</w:t>
      </w:r>
      <w:r w:rsidR="008243E6">
        <w:t xml:space="preserve"> (out of the synonymous codons of amino acid x)</w:t>
      </w:r>
      <w:r>
        <w:t xml:space="preserve"> .</w:t>
      </w:r>
    </w:p>
    <w:p w14:paraId="02ADDAAB" w14:textId="356555A9" w:rsidR="008243E6" w:rsidRDefault="008243E6" w:rsidP="008243E6">
      <w:pPr>
        <w:pStyle w:val="ListParagraph"/>
        <w:bidi w:val="0"/>
      </w:pPr>
      <w:r>
        <w:t>(*) CAI is not calculated for start and stop codons.</w:t>
      </w:r>
    </w:p>
    <w:p w14:paraId="0B93F330" w14:textId="661A2E38" w:rsidR="008243E6" w:rsidRDefault="00B032A6" w:rsidP="00B032A6">
      <w:pPr>
        <w:pStyle w:val="ListParagraph"/>
        <w:numPr>
          <w:ilvl w:val="0"/>
          <w:numId w:val="1"/>
        </w:numPr>
        <w:bidi w:val="0"/>
      </w:pPr>
      <w:r w:rsidRPr="00B032A6">
        <w:rPr>
          <w:u w:val="single"/>
        </w:rPr>
        <w:t xml:space="preserve">Scoring </w:t>
      </w:r>
      <w:r>
        <w:t xml:space="preserve">– The geometric mean of the codons' weights is </w:t>
      </w:r>
      <w:r w:rsidR="00A02987">
        <w:t>calculated to get the CAI score of the gene. It is given by:</w:t>
      </w:r>
    </w:p>
    <w:p w14:paraId="262105DA" w14:textId="52BB2823" w:rsidR="00B032A6" w:rsidRDefault="00B032A6" w:rsidP="00B032A6">
      <w:pPr>
        <w:pStyle w:val="ListParagraph"/>
        <w:bidi w:val="0"/>
      </w:pPr>
      <w:r w:rsidRPr="00322E24">
        <w:rPr>
          <w:rFonts w:asciiTheme="majorHAnsi" w:eastAsiaTheme="minorEastAsia" w:hAnsiTheme="majorHAnsi" w:cs="Calibri Light"/>
          <w:noProof/>
          <w:sz w:val="20"/>
          <w:szCs w:val="20"/>
          <w:rtl/>
        </w:rPr>
        <w:drawing>
          <wp:anchor distT="0" distB="0" distL="114300" distR="114300" simplePos="0" relativeHeight="251661312" behindDoc="1" locked="0" layoutInCell="1" allowOverlap="1" wp14:anchorId="21CF9486" wp14:editId="215B217B">
            <wp:simplePos x="0" y="0"/>
            <wp:positionH relativeFrom="column">
              <wp:posOffset>665612</wp:posOffset>
            </wp:positionH>
            <wp:positionV relativeFrom="paragraph">
              <wp:posOffset>15240</wp:posOffset>
            </wp:positionV>
            <wp:extent cx="223456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61" y="20994"/>
                <wp:lineTo x="2136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()</w:t>
      </w:r>
    </w:p>
    <w:p w14:paraId="70FFA678" w14:textId="1AA24F0B" w:rsidR="00B032A6" w:rsidRDefault="00B032A6" w:rsidP="00B032A6">
      <w:pPr>
        <w:pStyle w:val="ListParagraph"/>
        <w:bidi w:val="0"/>
      </w:pPr>
    </w:p>
    <w:p w14:paraId="5FBF1FCD" w14:textId="4233EE43" w:rsidR="00B032A6" w:rsidRDefault="00B032A6" w:rsidP="00B032A6">
      <w:pPr>
        <w:pStyle w:val="ListParagraph"/>
        <w:bidi w:val="0"/>
      </w:pPr>
    </w:p>
    <w:p w14:paraId="5D4864AB" w14:textId="3D4AD647" w:rsidR="00B032A6" w:rsidRDefault="00B032A6" w:rsidP="00B032A6">
      <w:pPr>
        <w:pStyle w:val="ListParagraph"/>
        <w:bidi w:val="0"/>
      </w:pPr>
    </w:p>
    <w:p w14:paraId="6A9A5433" w14:textId="15072CDD" w:rsidR="00A02987" w:rsidRDefault="00A02987">
      <w:pPr>
        <w:pStyle w:val="ListParagraph"/>
        <w:bidi w:val="0"/>
      </w:pPr>
      <w:r>
        <w:t>When L is the gene length (according to codons count).</w:t>
      </w:r>
    </w:p>
    <w:p w14:paraId="7998BABF" w14:textId="156BFB74" w:rsidR="00B032A6" w:rsidRDefault="00B032A6" w:rsidP="00A02987">
      <w:pPr>
        <w:pStyle w:val="ListParagraph"/>
        <w:bidi w:val="0"/>
      </w:pPr>
      <w:r>
        <w:t xml:space="preserve">Multiplication of many numbers in </w:t>
      </w:r>
      <w:r w:rsidR="003D2007">
        <w:t xml:space="preserve">a </w:t>
      </w:r>
      <w:r>
        <w:t xml:space="preserve">range </w:t>
      </w:r>
      <w:r w:rsidR="003D2007">
        <w:t xml:space="preserve">of </w:t>
      </w:r>
      <w:r>
        <w:t xml:space="preserve">(0, 1] can produce very low score, and as a result </w:t>
      </w:r>
      <w:r w:rsidR="008011CA">
        <w:t>to cause an underflow, so the computer will recognize the score wrongly as 0. To deal with this problem we use</w:t>
      </w:r>
      <w:r w:rsidR="000C0197">
        <w:t xml:space="preserve"> 'exp' and</w:t>
      </w:r>
      <w:r w:rsidR="008011CA">
        <w:t xml:space="preserve"> </w:t>
      </w:r>
      <w:r w:rsidR="003D2007">
        <w:t>'</w:t>
      </w:r>
      <w:r w:rsidR="008011CA">
        <w:t>ln</w:t>
      </w:r>
      <w:r w:rsidR="003D2007">
        <w:t>'</w:t>
      </w:r>
      <w:r w:rsidR="008011CA">
        <w:t xml:space="preserve"> function</w:t>
      </w:r>
      <w:r w:rsidR="000C0197">
        <w:t>s</w:t>
      </w:r>
      <w:r w:rsidR="008011CA">
        <w:t xml:space="preserve"> in order to c</w:t>
      </w:r>
      <w:r w:rsidR="000C0197">
        <w:t>onvert</w:t>
      </w:r>
      <w:r w:rsidR="008011CA">
        <w:t xml:space="preserve"> the multiplication into a sum</w:t>
      </w:r>
      <w:r w:rsidR="007343BA">
        <w:t xml:space="preserve"> [</w:t>
      </w:r>
      <w:r w:rsidR="008F60B1">
        <w:t>2</w:t>
      </w:r>
      <w:r w:rsidR="007343BA">
        <w:t>]</w:t>
      </w:r>
      <w:r w:rsidR="008011CA">
        <w:t>.</w:t>
      </w:r>
    </w:p>
    <w:p w14:paraId="61928C8C" w14:textId="145E01E0" w:rsidR="000C0197" w:rsidRDefault="000C0197" w:rsidP="000C0197">
      <w:pPr>
        <w:pStyle w:val="ListParagraph"/>
        <w:bidi w:val="0"/>
        <w:rPr>
          <w:color w:val="FF0000"/>
        </w:rPr>
      </w:pPr>
      <w:r w:rsidRPr="000C0197">
        <w:rPr>
          <w:rFonts w:hint="cs"/>
          <w:color w:val="FF0000"/>
          <w:rtl/>
        </w:rPr>
        <w:t>יצא מצב שהמשקל של קודון היה 0?</w:t>
      </w:r>
    </w:p>
    <w:p w14:paraId="6F627632" w14:textId="3212C74E" w:rsidR="000C0197" w:rsidRDefault="000C0197" w:rsidP="000C0197">
      <w:pPr>
        <w:bidi w:val="0"/>
        <w:rPr>
          <w:b/>
          <w:bCs/>
        </w:rPr>
      </w:pPr>
      <w:r>
        <w:rPr>
          <w:b/>
          <w:bCs/>
        </w:rPr>
        <w:t>Wobble Hypothesis:</w:t>
      </w:r>
    </w:p>
    <w:p w14:paraId="1599D4A8" w14:textId="19A83E86" w:rsidR="000C0197" w:rsidRDefault="00A477A8" w:rsidP="008F60B1">
      <w:pPr>
        <w:bidi w:val="0"/>
      </w:pPr>
      <w:r w:rsidRPr="00982149">
        <w:t xml:space="preserve">The Wobble hypothesis proposes that </w:t>
      </w:r>
      <w:r w:rsidR="006D5122">
        <w:t>normal</w:t>
      </w:r>
      <w:r w:rsidRPr="00982149">
        <w:t xml:space="preserve"> base pairing </w:t>
      </w:r>
      <w:r w:rsidR="006D5122" w:rsidRPr="006D5122">
        <w:t>(Watson</w:t>
      </w:r>
      <w:r w:rsidR="006D5122">
        <w:t>-</w:t>
      </w:r>
      <w:r w:rsidR="009B1092">
        <w:t>C</w:t>
      </w:r>
      <w:r w:rsidR="006D5122" w:rsidRPr="006D5122">
        <w:t xml:space="preserve">rick) </w:t>
      </w:r>
      <w:r w:rsidRPr="006D5122">
        <w:t>can occur</w:t>
      </w:r>
      <w:r w:rsidRPr="00982149">
        <w:t xml:space="preserve"> between the first and second bases of the codon </w:t>
      </w:r>
      <w:r w:rsidR="00982149" w:rsidRPr="00982149">
        <w:t>to</w:t>
      </w:r>
      <w:r w:rsidRPr="00982149">
        <w:t xml:space="preserve"> the </w:t>
      </w:r>
      <w:r w:rsidR="00982149" w:rsidRPr="00982149">
        <w:t>third and second bases of</w:t>
      </w:r>
      <w:r w:rsidRPr="00982149">
        <w:t xml:space="preserve"> the anticodon</w:t>
      </w:r>
      <w:r w:rsidR="00982149" w:rsidRPr="00982149">
        <w:t>, respectively</w:t>
      </w:r>
      <w:r w:rsidRPr="00982149">
        <w:t xml:space="preserve">. </w:t>
      </w:r>
      <w:r w:rsidR="00982149" w:rsidRPr="00982149">
        <w:t>However</w:t>
      </w:r>
      <w:r w:rsidRPr="00982149">
        <w:t xml:space="preserve">, </w:t>
      </w:r>
      <w:r w:rsidR="00982149" w:rsidRPr="00982149">
        <w:t>the first base</w:t>
      </w:r>
      <w:r w:rsidRPr="00982149">
        <w:t xml:space="preserve"> </w:t>
      </w:r>
      <w:r w:rsidR="00982149" w:rsidRPr="00982149">
        <w:t xml:space="preserve">of the </w:t>
      </w:r>
      <w:r w:rsidRPr="00982149">
        <w:t xml:space="preserve">anticodon </w:t>
      </w:r>
      <w:r w:rsidR="008F60B1">
        <w:t>may</w:t>
      </w:r>
      <w:r w:rsidRPr="00982149">
        <w:t xml:space="preserve"> </w:t>
      </w:r>
      <w:r w:rsidR="00982149" w:rsidRPr="00982149">
        <w:t>be bound to</w:t>
      </w:r>
      <w:r w:rsidRPr="00982149">
        <w:t xml:space="preserve"> </w:t>
      </w:r>
      <w:r w:rsidR="00982149" w:rsidRPr="00982149">
        <w:t xml:space="preserve">the third base of the codon </w:t>
      </w:r>
      <w:r w:rsidR="008F60B1">
        <w:t xml:space="preserve">also </w:t>
      </w:r>
      <w:r w:rsidR="00982149" w:rsidRPr="00982149">
        <w:t>with Wobble</w:t>
      </w:r>
      <w:r w:rsidRPr="00982149">
        <w:t xml:space="preserve"> </w:t>
      </w:r>
      <w:r w:rsidR="008F60B1">
        <w:t>interactions</w:t>
      </w:r>
      <w:r w:rsidR="00982149" w:rsidRPr="00982149">
        <w:t>, which does not require a perfect match</w:t>
      </w:r>
      <w:r w:rsidRPr="00982149">
        <w:t>.</w:t>
      </w:r>
      <w:r w:rsidR="00982149" w:rsidRPr="00982149">
        <w:t xml:space="preserve"> In that way, </w:t>
      </w:r>
      <w:r w:rsidR="006D5122">
        <w:t>each</w:t>
      </w:r>
      <w:r w:rsidR="00982149" w:rsidRPr="00982149">
        <w:t xml:space="preserve"> tRNA can </w:t>
      </w:r>
      <w:r w:rsidR="006D5122">
        <w:t xml:space="preserve">interact with more than one codon, and each codon can be bound by more than one tRNA. It should be mentioned that the affinity of Wobble interactions is lower than </w:t>
      </w:r>
      <w:r w:rsidR="006D5122" w:rsidRPr="006D5122">
        <w:t>Watson</w:t>
      </w:r>
      <w:r w:rsidR="006D5122">
        <w:t>-</w:t>
      </w:r>
      <w:r w:rsidR="009B1092">
        <w:t>C</w:t>
      </w:r>
      <w:r w:rsidR="006D5122" w:rsidRPr="006D5122">
        <w:t>rick</w:t>
      </w:r>
      <w:r w:rsidR="007343BA">
        <w:t xml:space="preserve"> [</w:t>
      </w:r>
      <w:r w:rsidR="008F60B1">
        <w:t>3</w:t>
      </w:r>
      <w:r w:rsidR="007343BA">
        <w:t>]</w:t>
      </w:r>
      <w:r w:rsidR="00982149" w:rsidRPr="00982149">
        <w:t>.</w:t>
      </w:r>
      <w:r w:rsidRPr="00982149">
        <w:t xml:space="preserve"> </w:t>
      </w:r>
    </w:p>
    <w:p w14:paraId="01DF168B" w14:textId="58E12B58" w:rsidR="006D5122" w:rsidRPr="00982149" w:rsidRDefault="006D5122" w:rsidP="006D5122">
      <w:pPr>
        <w:bidi w:val="0"/>
        <w:jc w:val="center"/>
      </w:pPr>
      <w:r>
        <w:rPr>
          <w:noProof/>
        </w:rPr>
        <w:drawing>
          <wp:inline distT="0" distB="0" distL="0" distR="0" wp14:anchorId="48295204" wp14:editId="468326E0">
            <wp:extent cx="3104592" cy="1629687"/>
            <wp:effectExtent l="0" t="0" r="635" b="8890"/>
            <wp:docPr id="1" name="Picture 1" descr="The Wobble Hypo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obble Hypothes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2" cy="16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E887" w14:textId="13571E56" w:rsidR="009B1092" w:rsidRPr="009B1092" w:rsidRDefault="009B1092" w:rsidP="000C0197">
      <w:pPr>
        <w:bidi w:val="0"/>
      </w:pPr>
      <w:r>
        <w:rPr>
          <w:b/>
          <w:bCs/>
        </w:rPr>
        <w:t xml:space="preserve">Figure () </w:t>
      </w:r>
      <w:r>
        <w:t xml:space="preserve">The same tRNA can interact </w:t>
      </w:r>
      <w:r w:rsidR="006035E0">
        <w:t>with</w:t>
      </w:r>
      <w:r>
        <w:t xml:space="preserve"> CUC codon by Watson-Crick base pairing (left), and </w:t>
      </w:r>
      <w:r w:rsidR="00BD789C">
        <w:t xml:space="preserve">to CUU codon </w:t>
      </w:r>
      <w:r>
        <w:t>by Wobble interactions (right) [</w:t>
      </w:r>
      <w:r w:rsidR="007439ED">
        <w:t>4</w:t>
      </w:r>
      <w:r>
        <w:t>].</w:t>
      </w:r>
    </w:p>
    <w:p w14:paraId="1AB6F024" w14:textId="77777777" w:rsidR="007439ED" w:rsidRDefault="009B1092" w:rsidP="007439ED">
      <w:pPr>
        <w:bidi w:val="0"/>
        <w:rPr>
          <w:b/>
          <w:bCs/>
        </w:rPr>
      </w:pPr>
      <w:r>
        <w:rPr>
          <w:b/>
          <w:bCs/>
        </w:rPr>
        <w:lastRenderedPageBreak/>
        <w:t>tRNA Adaptation Index</w:t>
      </w:r>
      <w:r w:rsidR="007439ED">
        <w:rPr>
          <w:b/>
          <w:bCs/>
        </w:rPr>
        <w:t xml:space="preserve"> (tAI)</w:t>
      </w:r>
      <w:r w:rsidR="000C0197" w:rsidRPr="00982149">
        <w:rPr>
          <w:b/>
          <w:bCs/>
        </w:rPr>
        <w:t>:</w:t>
      </w:r>
    </w:p>
    <w:p w14:paraId="5755202A" w14:textId="498242ED" w:rsidR="00AB2EBB" w:rsidRDefault="00BF34EE" w:rsidP="00AB2EBB">
      <w:pPr>
        <w:bidi w:val="0"/>
      </w:pPr>
      <w:r>
        <w:t xml:space="preserve">The tRNA Adaptation Index is a measure of translational efficiency which </w:t>
      </w:r>
      <w:r w:rsidR="007439ED">
        <w:t>considers</w:t>
      </w:r>
      <w:r>
        <w:t xml:space="preserve"> the intracellular concentration of tRNA molecules and the </w:t>
      </w:r>
      <w:r w:rsidR="00444807">
        <w:t>affinity</w:t>
      </w:r>
      <w:r>
        <w:t xml:space="preserve"> of each codon–anticodon pairing</w:t>
      </w:r>
      <w:r w:rsidR="00AB2EBB">
        <w:t>.</w:t>
      </w:r>
      <w:r w:rsidR="007439ED">
        <w:t xml:space="preserve"> </w:t>
      </w:r>
      <w:r w:rsidR="00AB2EBB" w:rsidRPr="00AB2EBB">
        <w:t xml:space="preserve">This index is calculated based on a reference set of highly expressed genes </w:t>
      </w:r>
      <w:r w:rsidR="00AB2EBB" w:rsidRPr="005F637E">
        <w:t xml:space="preserve">from a </w:t>
      </w:r>
      <w:r w:rsidR="00AB2EBB">
        <w:t xml:space="preserve">specific </w:t>
      </w:r>
      <w:r w:rsidR="00AB2EBB" w:rsidRPr="005F637E">
        <w:t>species</w:t>
      </w:r>
      <w:r w:rsidR="00AB2EBB">
        <w:t>, since highly expressed genes tend to have higher codon usage bias (CUB) and higher adaptation to the tRNA pool</w:t>
      </w:r>
      <w:r w:rsidR="00AB2EBB" w:rsidRPr="00AB2EBB">
        <w:t xml:space="preserve"> </w:t>
      </w:r>
      <w:r w:rsidR="00AB2EBB">
        <w:t>[5]</w:t>
      </w:r>
      <w:r w:rsidR="00AB2EBB" w:rsidRPr="00AB2EBB">
        <w:t>.</w:t>
      </w:r>
      <w:r w:rsidR="00AB2EBB">
        <w:t xml:space="preserve"> The score of a gene is in a range of (0, 1], when score of 1 is given to an optimal gene which is recognized by a lot of tRNAs with high affinity. The calculation is performed according to the following algorithm</w:t>
      </w:r>
      <w:r w:rsidR="00D77D7D">
        <w:t xml:space="preserve"> [6]</w:t>
      </w:r>
      <w:r w:rsidR="00AB2EBB">
        <w:t>:</w:t>
      </w:r>
    </w:p>
    <w:p w14:paraId="4C5F11A6" w14:textId="3FF1F188" w:rsidR="00A945EB" w:rsidRDefault="00A945EB" w:rsidP="00A945EB">
      <w:pPr>
        <w:pStyle w:val="ListParagraph"/>
        <w:numPr>
          <w:ilvl w:val="0"/>
          <w:numId w:val="3"/>
        </w:numPr>
        <w:bidi w:val="0"/>
      </w:pPr>
      <w:r w:rsidRPr="00A936F3">
        <w:rPr>
          <w:u w:val="single"/>
        </w:rPr>
        <w:t>Estimation of tRNA pool distribution</w:t>
      </w:r>
      <w:r w:rsidR="00A936F3">
        <w:t xml:space="preserve"> – In order to get tRNA pool distribution</w:t>
      </w:r>
      <w:r w:rsidR="00001D2E">
        <w:t>,</w:t>
      </w:r>
      <w:r w:rsidR="00A936F3">
        <w:t xml:space="preserve"> tRNA levels should be measured directly. This process is </w:t>
      </w:r>
      <w:r w:rsidR="00001D2E">
        <w:t xml:space="preserve">very </w:t>
      </w:r>
      <w:r w:rsidR="00A02987">
        <w:t>complicated,</w:t>
      </w:r>
      <w:r w:rsidR="00A936F3">
        <w:t xml:space="preserve"> so the distribution is usually calculated based on tRNA gene copy number. Unlike most of the genes, tRNA genes appear more than once in the genome due to their critic role.</w:t>
      </w:r>
    </w:p>
    <w:p w14:paraId="02C41DCE" w14:textId="09FA0C33" w:rsidR="00D97D6C" w:rsidRDefault="00D97D6C" w:rsidP="00D97D6C">
      <w:pPr>
        <w:pStyle w:val="ListParagraph"/>
        <w:numPr>
          <w:ilvl w:val="0"/>
          <w:numId w:val="3"/>
        </w:numPr>
        <w:bidi w:val="0"/>
      </w:pPr>
      <w:r w:rsidRPr="00B032A6">
        <w:rPr>
          <w:u w:val="single"/>
        </w:rPr>
        <w:t>Calculat</w:t>
      </w:r>
      <w:r>
        <w:rPr>
          <w:u w:val="single"/>
        </w:rPr>
        <w:t>ion of</w:t>
      </w:r>
      <w:r w:rsidRPr="00B032A6">
        <w:rPr>
          <w:u w:val="single"/>
        </w:rPr>
        <w:t xml:space="preserve"> the weight for each codon</w:t>
      </w:r>
      <w:r>
        <w:rPr>
          <w:u w:val="single"/>
        </w:rPr>
        <w:t xml:space="preserve"> </w:t>
      </w:r>
      <w:r w:rsidRPr="00D97D6C">
        <w:t xml:space="preserve">- </w:t>
      </w:r>
      <w:r>
        <w:t>the translational efficiency of the i-th codon (out of 61 possible codons) is given by:</w:t>
      </w:r>
    </w:p>
    <w:p w14:paraId="14B8D813" w14:textId="61605174" w:rsidR="00D97D6C" w:rsidRDefault="00D97D6C" w:rsidP="00D97D6C">
      <w:pPr>
        <w:pStyle w:val="ListParagraph"/>
        <w:bidi w:val="0"/>
      </w:pPr>
      <w:r w:rsidRPr="00D97D6C">
        <w:t>()</w:t>
      </w:r>
      <w:r>
        <w:t xml:space="preserve">  </w:t>
      </w:r>
      <w:r w:rsidRPr="00D97D6C">
        <w:rPr>
          <w:noProof/>
        </w:rPr>
        <w:drawing>
          <wp:inline distT="0" distB="0" distL="0" distR="0" wp14:anchorId="7E4941F8" wp14:editId="0A4E1AF0">
            <wp:extent cx="1876370" cy="632200"/>
            <wp:effectExtent l="0" t="0" r="0" b="0"/>
            <wp:docPr id="4" name="Picture 4" descr="A picture containing clock, watch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watch,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797" cy="6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ACCD" w14:textId="4EF9953C" w:rsidR="00D97D6C" w:rsidRDefault="00D97D6C" w:rsidP="00122472">
      <w:pPr>
        <w:pStyle w:val="ListParagraph"/>
        <w:bidi w:val="0"/>
      </w:pPr>
      <w:r>
        <w:t>where n_i is the number of tRNA types that pair with the i_th codon, tGCN</w:t>
      </w:r>
      <w:r w:rsidR="00001D2E">
        <w:t>_</w:t>
      </w:r>
      <w:r>
        <w:t>j is the tRNA</w:t>
      </w:r>
      <w:r w:rsidR="007E2A16">
        <w:t>_j</w:t>
      </w:r>
      <w:r>
        <w:t xml:space="preserve"> gene copy number, S</w:t>
      </w:r>
      <w:r w:rsidR="00122472">
        <w:t>_</w:t>
      </w:r>
      <w:r>
        <w:t>ij is a value between 0 and 1</w:t>
      </w:r>
      <w:r w:rsidR="00122472">
        <w:rPr>
          <w:rFonts w:hint="cs"/>
          <w:rtl/>
        </w:rPr>
        <w:t xml:space="preserve"> </w:t>
      </w:r>
      <w:r w:rsidR="00122472">
        <w:t xml:space="preserve">representing the affinity of </w:t>
      </w:r>
      <w:r>
        <w:t>the pairing between the i</w:t>
      </w:r>
      <w:r w:rsidR="00122472">
        <w:t>_</w:t>
      </w:r>
      <w:r>
        <w:t>th codon and the j</w:t>
      </w:r>
      <w:r w:rsidR="00122472">
        <w:t>_</w:t>
      </w:r>
      <w:r>
        <w:t>th tRNA</w:t>
      </w:r>
      <w:r w:rsidR="00122472">
        <w:t xml:space="preserve"> (a value closer to zero indicates more efficient wobble interaction), and W_i is the weight of the i_th codon.</w:t>
      </w:r>
    </w:p>
    <w:p w14:paraId="0D2103F5" w14:textId="5A3891E8" w:rsidR="00122472" w:rsidRDefault="00122472" w:rsidP="00122472">
      <w:pPr>
        <w:pStyle w:val="ListParagraph"/>
        <w:numPr>
          <w:ilvl w:val="0"/>
          <w:numId w:val="3"/>
        </w:numPr>
        <w:bidi w:val="0"/>
      </w:pPr>
      <w:r w:rsidRPr="00122472">
        <w:rPr>
          <w:u w:val="single"/>
        </w:rPr>
        <w:t>Normalization</w:t>
      </w:r>
      <w:r>
        <w:t xml:space="preserve"> - </w:t>
      </w:r>
      <w:r w:rsidR="004B49F7">
        <w:t xml:space="preserve">Normalized weights are </w:t>
      </w:r>
      <w:r w:rsidR="007464E6">
        <w:t>given by:</w:t>
      </w:r>
    </w:p>
    <w:p w14:paraId="183ED9CD" w14:textId="0AC7F016" w:rsidR="007464E6" w:rsidRDefault="007464E6" w:rsidP="007464E6">
      <w:pPr>
        <w:pStyle w:val="ListParagraph"/>
        <w:bidi w:val="0"/>
      </w:pPr>
      <w:r w:rsidRPr="001C2E34">
        <w:rPr>
          <w:rFonts w:asciiTheme="majorHAnsi" w:eastAsiaTheme="minorEastAsia" w:hAnsiTheme="majorHAnsi" w:cs="Calibri Light"/>
          <w:noProof/>
          <w:sz w:val="20"/>
          <w:szCs w:val="20"/>
          <w:rtl/>
        </w:rPr>
        <w:drawing>
          <wp:anchor distT="0" distB="0" distL="114300" distR="114300" simplePos="0" relativeHeight="251663360" behindDoc="1" locked="0" layoutInCell="1" allowOverlap="1" wp14:anchorId="27F9BA14" wp14:editId="00B937D5">
            <wp:simplePos x="0" y="0"/>
            <wp:positionH relativeFrom="column">
              <wp:posOffset>734692</wp:posOffset>
            </wp:positionH>
            <wp:positionV relativeFrom="paragraph">
              <wp:posOffset>36996</wp:posOffset>
            </wp:positionV>
            <wp:extent cx="1841500" cy="608330"/>
            <wp:effectExtent l="0" t="0" r="6350" b="1270"/>
            <wp:wrapTight wrapText="bothSides">
              <wp:wrapPolygon edited="0">
                <wp:start x="0" y="0"/>
                <wp:lineTo x="0" y="20969"/>
                <wp:lineTo x="21451" y="20969"/>
                <wp:lineTo x="21451" y="0"/>
                <wp:lineTo x="0" y="0"/>
              </wp:wrapPolygon>
            </wp:wrapTight>
            <wp:docPr id="85" name="Picture 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Text&#10;&#10;Description automatically generated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() </w:t>
      </w:r>
    </w:p>
    <w:p w14:paraId="7AE4E6C7" w14:textId="1BD2AD16" w:rsidR="00D97D6C" w:rsidRDefault="00D97D6C" w:rsidP="00D97D6C">
      <w:pPr>
        <w:pStyle w:val="ListParagraph"/>
        <w:bidi w:val="0"/>
      </w:pPr>
    </w:p>
    <w:p w14:paraId="32DEA6BF" w14:textId="77777777" w:rsidR="00D97D6C" w:rsidRPr="00D97D6C" w:rsidRDefault="00D97D6C" w:rsidP="00D97D6C">
      <w:pPr>
        <w:pStyle w:val="ListParagraph"/>
        <w:bidi w:val="0"/>
      </w:pPr>
    </w:p>
    <w:p w14:paraId="4196381F" w14:textId="322EF333" w:rsidR="00AB2EBB" w:rsidRDefault="007464E6" w:rsidP="007464E6">
      <w:pPr>
        <w:bidi w:val="0"/>
        <w:ind w:left="720"/>
      </w:pPr>
      <w:r>
        <w:t>w_i is obtained by dividing W_i by the maximum weight among all 61 codons, zero Wi weights are set to the geometric mean among the other weights.</w:t>
      </w:r>
    </w:p>
    <w:p w14:paraId="5F88DA79" w14:textId="77777777" w:rsidR="003A311C" w:rsidRDefault="007E2A16" w:rsidP="007E2A16">
      <w:pPr>
        <w:pStyle w:val="ListParagraph"/>
        <w:numPr>
          <w:ilvl w:val="0"/>
          <w:numId w:val="3"/>
        </w:numPr>
        <w:bidi w:val="0"/>
      </w:pPr>
      <w:r w:rsidRPr="003A311C">
        <w:rPr>
          <w:u w:val="single"/>
        </w:rPr>
        <w:t>Scoring</w:t>
      </w:r>
      <w:r>
        <w:t xml:space="preserve"> </w:t>
      </w:r>
      <w:r w:rsidR="003A311C">
        <w:t>– gene score is calculated by the geometric mean of all the codon weights, given by:</w:t>
      </w:r>
    </w:p>
    <w:p w14:paraId="4E34BB40" w14:textId="4BFA22ED" w:rsidR="007E2A16" w:rsidRPr="003A311C" w:rsidRDefault="003A311C" w:rsidP="003A311C">
      <w:pPr>
        <w:pStyle w:val="ListParagraph"/>
        <w:bidi w:val="0"/>
      </w:pPr>
      <w:r w:rsidRPr="001C2E34">
        <w:rPr>
          <w:rFonts w:asciiTheme="majorHAnsi" w:eastAsiaTheme="minorEastAsia" w:hAnsiTheme="majorHAnsi" w:cs="Calibri Light"/>
          <w:noProof/>
          <w:sz w:val="20"/>
          <w:szCs w:val="20"/>
          <w:rtl/>
        </w:rPr>
        <w:drawing>
          <wp:anchor distT="0" distB="0" distL="114300" distR="114300" simplePos="0" relativeHeight="251665408" behindDoc="1" locked="0" layoutInCell="1" allowOverlap="1" wp14:anchorId="20BF5983" wp14:editId="58885572">
            <wp:simplePos x="0" y="0"/>
            <wp:positionH relativeFrom="column">
              <wp:posOffset>697693</wp:posOffset>
            </wp:positionH>
            <wp:positionV relativeFrom="paragraph">
              <wp:posOffset>68408</wp:posOffset>
            </wp:positionV>
            <wp:extent cx="2001520" cy="546100"/>
            <wp:effectExtent l="0" t="0" r="0" b="6350"/>
            <wp:wrapTight wrapText="bothSides">
              <wp:wrapPolygon edited="0">
                <wp:start x="0" y="0"/>
                <wp:lineTo x="0" y="21098"/>
                <wp:lineTo x="21381" y="21098"/>
                <wp:lineTo x="21381" y="0"/>
                <wp:lineTo x="0" y="0"/>
              </wp:wrapPolygon>
            </wp:wrapTight>
            <wp:docPr id="86" name="Picture 86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gauge&#10;&#10;Description automatically generated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311C">
        <w:t xml:space="preserve">()  </w:t>
      </w:r>
    </w:p>
    <w:p w14:paraId="45A58B52" w14:textId="77777777" w:rsidR="00A945EB" w:rsidRDefault="00A945EB" w:rsidP="00A945EB">
      <w:pPr>
        <w:bidi w:val="0"/>
        <w:ind w:left="720"/>
        <w:rPr>
          <w:rtl/>
        </w:rPr>
      </w:pPr>
    </w:p>
    <w:p w14:paraId="64359B4F" w14:textId="0142E72F" w:rsidR="007343BA" w:rsidRDefault="007343BA" w:rsidP="007343BA">
      <w:pPr>
        <w:bidi w:val="0"/>
      </w:pPr>
    </w:p>
    <w:p w14:paraId="7EABB7B5" w14:textId="77777777" w:rsidR="003A311C" w:rsidRDefault="003A311C" w:rsidP="003A311C">
      <w:pPr>
        <w:bidi w:val="0"/>
        <w:rPr>
          <w:b/>
          <w:bCs/>
          <w:rtl/>
        </w:rPr>
      </w:pPr>
    </w:p>
    <w:p w14:paraId="07DE1359" w14:textId="6D98E02C" w:rsidR="007343BA" w:rsidRDefault="007343BA" w:rsidP="007343BA">
      <w:pPr>
        <w:bidi w:val="0"/>
        <w:rPr>
          <w:b/>
          <w:bCs/>
        </w:rPr>
      </w:pPr>
    </w:p>
    <w:p w14:paraId="1CDCE395" w14:textId="61139EAC" w:rsidR="007343BA" w:rsidRDefault="007343BA" w:rsidP="007343BA">
      <w:pPr>
        <w:bidi w:val="0"/>
        <w:rPr>
          <w:b/>
          <w:bCs/>
        </w:rPr>
      </w:pPr>
    </w:p>
    <w:p w14:paraId="48BB1AA1" w14:textId="4CF96CC7" w:rsidR="007343BA" w:rsidRDefault="007343BA" w:rsidP="007343BA">
      <w:pPr>
        <w:bidi w:val="0"/>
        <w:rPr>
          <w:b/>
          <w:bCs/>
        </w:rPr>
      </w:pPr>
    </w:p>
    <w:p w14:paraId="17CEE36A" w14:textId="76F71A2B" w:rsidR="007343BA" w:rsidRDefault="007343BA" w:rsidP="007343BA">
      <w:pPr>
        <w:bidi w:val="0"/>
        <w:rPr>
          <w:b/>
          <w:bCs/>
        </w:rPr>
      </w:pPr>
    </w:p>
    <w:p w14:paraId="73563FF3" w14:textId="3AF3DEF8" w:rsidR="007343BA" w:rsidRDefault="007343BA" w:rsidP="007343BA">
      <w:pPr>
        <w:bidi w:val="0"/>
        <w:rPr>
          <w:b/>
          <w:bCs/>
        </w:rPr>
      </w:pPr>
    </w:p>
    <w:p w14:paraId="38BDA48A" w14:textId="5E5E10CE" w:rsidR="00AB2EBB" w:rsidRDefault="00AB2EBB" w:rsidP="00AB2EBB">
      <w:pPr>
        <w:bidi w:val="0"/>
        <w:rPr>
          <w:b/>
          <w:bCs/>
        </w:rPr>
      </w:pPr>
    </w:p>
    <w:p w14:paraId="57D419FD" w14:textId="77777777" w:rsidR="00AB2EBB" w:rsidRDefault="00AB2EBB" w:rsidP="00AB2EBB">
      <w:pPr>
        <w:bidi w:val="0"/>
        <w:rPr>
          <w:b/>
          <w:bCs/>
        </w:rPr>
      </w:pPr>
    </w:p>
    <w:p w14:paraId="0B83E681" w14:textId="47BE1E6C" w:rsidR="007343BA" w:rsidRPr="008F60B1" w:rsidRDefault="007343BA" w:rsidP="007343BA">
      <w:pPr>
        <w:bidi w:val="0"/>
      </w:pPr>
      <w:r w:rsidRPr="008F60B1">
        <w:lastRenderedPageBreak/>
        <w:t>[1].</w:t>
      </w:r>
      <w:r w:rsidR="00BD71C7" w:rsidRPr="008F60B1">
        <w:t xml:space="preserve"> Paul M. Sharp, Wen-Hsiung Li, The codon adaptation index-a measure of directional synonymous codon usage bias, and its potential applications, </w:t>
      </w:r>
      <w:r w:rsidR="00BD71C7" w:rsidRPr="008F60B1">
        <w:rPr>
          <w:i/>
          <w:iCs/>
        </w:rPr>
        <w:t>Nucleic Acids Research</w:t>
      </w:r>
      <w:r w:rsidR="00BD71C7" w:rsidRPr="008F60B1">
        <w:t>, Volume 15, Issue 3, 11 February 1987, Pages 1281–1295, </w:t>
      </w:r>
      <w:hyperlink r:id="rId11" w:history="1">
        <w:r w:rsidR="00BD71C7" w:rsidRPr="008F60B1">
          <w:t>https://doi.org/10.1093/nar/15.3.1281</w:t>
        </w:r>
      </w:hyperlink>
    </w:p>
    <w:p w14:paraId="63A1ED20" w14:textId="6C15F44B" w:rsidR="008F60B1" w:rsidRDefault="008F60B1" w:rsidP="008F60B1">
      <w:pPr>
        <w:bidi w:val="0"/>
      </w:pPr>
      <w:r w:rsidRPr="008F60B1">
        <w:t>[2]. A. Carbone, A. Zinovyev, F. Képès</w:t>
      </w:r>
      <w:r w:rsidR="007439ED">
        <w:t>.</w:t>
      </w:r>
      <w:r w:rsidRPr="008F60B1">
        <w:t xml:space="preserve"> Codon adaptation index as a measure of dominating codon bias, </w:t>
      </w:r>
      <w:r w:rsidRPr="008F60B1">
        <w:rPr>
          <w:i/>
          <w:iCs/>
        </w:rPr>
        <w:t>Bioinformatics</w:t>
      </w:r>
      <w:r w:rsidRPr="008F60B1">
        <w:t>, Volume 19, Issue 16, 1 November 2003, Pages 2005–2015, </w:t>
      </w:r>
      <w:hyperlink r:id="rId12" w:history="1">
        <w:r w:rsidRPr="008F60B1">
          <w:t>https://doi.org/10.1093/bioinformatics/btg272</w:t>
        </w:r>
      </w:hyperlink>
    </w:p>
    <w:p w14:paraId="6B4E4A3D" w14:textId="77777777" w:rsidR="007439ED" w:rsidRDefault="007439ED" w:rsidP="007439ED">
      <w:pPr>
        <w:shd w:val="clear" w:color="auto" w:fill="FFFFFF"/>
        <w:bidi w:val="0"/>
        <w:spacing w:after="0" w:line="240" w:lineRule="auto"/>
      </w:pPr>
      <w:r w:rsidRPr="008F60B1">
        <w:t>[</w:t>
      </w:r>
      <w:r>
        <w:t>3</w:t>
      </w:r>
      <w:r w:rsidRPr="008F60B1">
        <w:t xml:space="preserve">]. Peretó J. (2011) Wobble Hypothesis (Genetics). In: Gargaud M. et al. (eds) Encyclopedia of Astrobiology. Springer, Berlin, Heidelberg. </w:t>
      </w:r>
      <w:hyperlink r:id="rId13" w:history="1">
        <w:r w:rsidRPr="00A03226">
          <w:rPr>
            <w:rStyle w:val="Hyperlink"/>
          </w:rPr>
          <w:t>https://doi.org/10.1007/978-3-642-11274-4_1692</w:t>
        </w:r>
      </w:hyperlink>
    </w:p>
    <w:p w14:paraId="227C4DEA" w14:textId="15C5CBDF" w:rsidR="007439ED" w:rsidRDefault="007439ED" w:rsidP="00EF3C46">
      <w:pPr>
        <w:shd w:val="clear" w:color="auto" w:fill="FFFFFF"/>
        <w:bidi w:val="0"/>
        <w:spacing w:after="0" w:line="240" w:lineRule="auto"/>
      </w:pPr>
    </w:p>
    <w:p w14:paraId="4022755E" w14:textId="06FFE838" w:rsidR="00EF3C46" w:rsidRDefault="009B1092" w:rsidP="007439ED">
      <w:pPr>
        <w:shd w:val="clear" w:color="auto" w:fill="FFFFFF"/>
        <w:bidi w:val="0"/>
        <w:spacing w:after="0" w:line="240" w:lineRule="auto"/>
      </w:pPr>
      <w:r>
        <w:t>[</w:t>
      </w:r>
      <w:r w:rsidR="007439ED">
        <w:t>4</w:t>
      </w:r>
      <w:r>
        <w:t xml:space="preserve">]. </w:t>
      </w:r>
      <w:r w:rsidR="00EF3C46" w:rsidRPr="00EF3C46">
        <w:t>Verma, P. S., &amp; Agrawal, V. K. (2006). Cell Biology, Genetics, Molecular Biology, Evolution &amp; Ecology (1 ed.). S .Chand and company Ltd.</w:t>
      </w:r>
    </w:p>
    <w:p w14:paraId="5413C06C" w14:textId="77777777" w:rsidR="00EF3C46" w:rsidRDefault="00EF3C46" w:rsidP="00EF3C46">
      <w:pPr>
        <w:shd w:val="clear" w:color="auto" w:fill="FFFFFF"/>
        <w:bidi w:val="0"/>
        <w:spacing w:after="0" w:line="240" w:lineRule="auto"/>
      </w:pPr>
    </w:p>
    <w:p w14:paraId="487DB841" w14:textId="31F8FE88" w:rsidR="00EF3C46" w:rsidRDefault="00EF3C46" w:rsidP="00EF3C46">
      <w:pPr>
        <w:bidi w:val="0"/>
      </w:pPr>
      <w:r>
        <w:t xml:space="preserve">[5]. </w:t>
      </w:r>
      <w:r w:rsidR="007439ED" w:rsidRPr="007439ED">
        <w:t>Sabi,</w:t>
      </w:r>
      <w:r w:rsidR="007439ED">
        <w:t xml:space="preserve"> R.,</w:t>
      </w:r>
      <w:r w:rsidR="007439ED" w:rsidRPr="007439ED">
        <w:t xml:space="preserve"> Volvovitch Daniel,</w:t>
      </w:r>
      <w:r w:rsidR="007439ED">
        <w:t xml:space="preserve"> R.,</w:t>
      </w:r>
      <w:r w:rsidR="007439ED" w:rsidRPr="007439ED">
        <w:t xml:space="preserve"> Tuller,</w:t>
      </w:r>
      <w:r w:rsidR="007439ED">
        <w:t xml:space="preserve"> T.</w:t>
      </w:r>
      <w:r w:rsidR="007439ED" w:rsidRPr="007439ED">
        <w:t xml:space="preserve"> stAIcalc: tRNA adaptation index calculator based on species-specific weights, </w:t>
      </w:r>
      <w:r w:rsidR="007439ED" w:rsidRPr="007439ED">
        <w:rPr>
          <w:i/>
          <w:iCs/>
        </w:rPr>
        <w:t>Bioinformatics</w:t>
      </w:r>
      <w:r w:rsidR="007439ED" w:rsidRPr="007439ED">
        <w:t>, Volume 33, Issue 4, 15 February 2017, Pages 589–591, </w:t>
      </w:r>
      <w:hyperlink r:id="rId14" w:history="1">
        <w:r w:rsidR="007439ED" w:rsidRPr="007439ED">
          <w:t>https://doi.org/10.1093/bioinformatics/btw647</w:t>
        </w:r>
      </w:hyperlink>
    </w:p>
    <w:p w14:paraId="384975A2" w14:textId="165CC6A5" w:rsidR="003A311C" w:rsidRDefault="003A311C" w:rsidP="003A311C">
      <w:pPr>
        <w:bidi w:val="0"/>
      </w:pPr>
      <w:r>
        <w:t xml:space="preserve">[6]. </w:t>
      </w:r>
      <w:r w:rsidRPr="003A311C">
        <w:t>dos Reis, M., Savva, R., &amp; Wernisch, L. (2004). Solving the riddle of codon usage preferences: a test for translational selection. Nucleic acids research, 32(17), 5036–5044. https://doi.org/10.1093/nar/gkh834</w:t>
      </w:r>
    </w:p>
    <w:p w14:paraId="7A1EB7AF" w14:textId="77777777" w:rsidR="007343BA" w:rsidRPr="000C0197" w:rsidRDefault="007343BA" w:rsidP="007343BA">
      <w:pPr>
        <w:pStyle w:val="ListParagraph"/>
        <w:bidi w:val="0"/>
      </w:pPr>
    </w:p>
    <w:sectPr w:rsidR="007343BA" w:rsidRPr="000C0197" w:rsidSect="00B6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0F1"/>
    <w:multiLevelType w:val="multilevel"/>
    <w:tmpl w:val="2558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90A11"/>
    <w:multiLevelType w:val="hybridMultilevel"/>
    <w:tmpl w:val="25A4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99E"/>
    <w:multiLevelType w:val="hybridMultilevel"/>
    <w:tmpl w:val="DBA0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1"/>
    <w:rsid w:val="00001D2E"/>
    <w:rsid w:val="0002563F"/>
    <w:rsid w:val="000440C1"/>
    <w:rsid w:val="000C0197"/>
    <w:rsid w:val="00122472"/>
    <w:rsid w:val="001F5784"/>
    <w:rsid w:val="00297540"/>
    <w:rsid w:val="00367D0C"/>
    <w:rsid w:val="003A311C"/>
    <w:rsid w:val="003D2007"/>
    <w:rsid w:val="00444807"/>
    <w:rsid w:val="004B49F7"/>
    <w:rsid w:val="004B51DC"/>
    <w:rsid w:val="005F637E"/>
    <w:rsid w:val="006035E0"/>
    <w:rsid w:val="00690499"/>
    <w:rsid w:val="006D5122"/>
    <w:rsid w:val="007343BA"/>
    <w:rsid w:val="007439ED"/>
    <w:rsid w:val="007464E6"/>
    <w:rsid w:val="007568B8"/>
    <w:rsid w:val="007E2A16"/>
    <w:rsid w:val="008011CA"/>
    <w:rsid w:val="008243E6"/>
    <w:rsid w:val="008F60B1"/>
    <w:rsid w:val="00982149"/>
    <w:rsid w:val="009B1092"/>
    <w:rsid w:val="00A02987"/>
    <w:rsid w:val="00A477A8"/>
    <w:rsid w:val="00A57E39"/>
    <w:rsid w:val="00A936F3"/>
    <w:rsid w:val="00A945EB"/>
    <w:rsid w:val="00AB2EBB"/>
    <w:rsid w:val="00B032A6"/>
    <w:rsid w:val="00B6383B"/>
    <w:rsid w:val="00BD71C7"/>
    <w:rsid w:val="00BD789C"/>
    <w:rsid w:val="00BF34EE"/>
    <w:rsid w:val="00D77D7D"/>
    <w:rsid w:val="00D97D6C"/>
    <w:rsid w:val="00E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CF7E"/>
  <w15:chartTrackingRefBased/>
  <w15:docId w15:val="{DAED885C-43F3-46EF-8411-871D0397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B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71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D71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007/978-3-642-11274-4_16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i.org/10.1093/bioinformatics/btg2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93/nar/15.3.128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093/bioinformatics/btw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8612</TotalTime>
  <Pages>3</Pages>
  <Words>877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Meydani</dc:creator>
  <cp:keywords/>
  <dc:description/>
  <cp:lastModifiedBy>Noy Meydani</cp:lastModifiedBy>
  <cp:revision>23</cp:revision>
  <dcterms:created xsi:type="dcterms:W3CDTF">2021-06-03T04:47:00Z</dcterms:created>
  <dcterms:modified xsi:type="dcterms:W3CDTF">2021-06-14T06:13:00Z</dcterms:modified>
</cp:coreProperties>
</file>