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160"/>
        <w:jc w:val="center"/>
      </w:pPr>
      <w:r>
        <w:rPr>
          <w:rFonts w:ascii="Georgia" w:cs="Georgia" w:eastAsia="Georgia" w:hAnsi="Georgia"/>
          <w:b/>
          <w:bCs/>
          <w:color w:val="1B2A4A"/>
          <w:sz w:val="52"/>
          <w:szCs w:val="52"/>
        </w:rPr>
        <w:t xml:space="preserve">Securing AI in Software Testing</w:t>
      </w:r>
    </w:p>
    <w:p>
      <w:pPr>
        <w:spacing w:after="40"/>
      </w:pPr>
    </w:p>
    <w:p>
      <w:pPr>
        <w:pBdr>
          <w:top w:val="single" w:color="2E75B6" w:sz="3" w:space="10"/>
        </w:pBdr>
        <w:spacing w:after="60"/>
        <w:jc w:val="center"/>
      </w:pPr>
      <w:r>
        <w:rPr>
          <w:rFonts w:ascii="Georgia" w:cs="Georgia" w:eastAsia="Georgia" w:hAnsi="Georgia"/>
          <w:color w:val="2E75B6"/>
          <w:sz w:val="28"/>
          <w:szCs w:val="28"/>
        </w:rPr>
        <w:t xml:space="preserve">Best Practices and Risks</w:t>
      </w:r>
    </w:p>
    <w:p>
      <w:pPr>
        <w:spacing w:after="40"/>
        <w:jc w:val="center"/>
      </w:pPr>
      <w:r>
        <w:rPr>
          <w:rFonts w:ascii="Georgia" w:cs="Georgia" w:eastAsia="Georgia" w:hAnsi="Georgia"/>
          <w:color w:val="555555"/>
          <w:sz w:val="24"/>
          <w:szCs w:val="24"/>
        </w:rPr>
        <w:t xml:space="preserve">A Handbook for Testing Services Professionals</w:t>
      </w:r>
    </w:p>
    <w:p>
      <w:pPr>
        <w:spacing w:after="600"/>
      </w:pPr>
    </w:p>
    <w:p>
      <w:pPr>
        <w:spacing w:after="40"/>
        <w:jc w:val="center"/>
      </w:pPr>
      <w:r>
        <w:rPr>
          <w:rFonts w:ascii="Calibri" w:cs="Calibri" w:eastAsia="Calibri" w:hAnsi="Calibri"/>
          <w:color w:val="555555"/>
          <w:sz w:val="20"/>
          <w:szCs w:val="20"/>
        </w:rPr>
        <w:t xml:space="preserve">Audience: Project Leads  •  QA Leads  •  QA Architects  •  Functional Testers  •  Automation Engineers</w:t>
      </w:r>
    </w:p>
    <w:p>
      <w:pPr>
        <w:spacing w:after="400"/>
      </w:pPr>
    </w:p>
    <w:p>
      <w:pPr>
        <w:spacing w:after="40"/>
        <w:jc w:val="center"/>
      </w:pPr>
      <w:r>
        <w:rPr>
          <w:rFonts w:ascii="Calibri" w:cs="Calibri" w:eastAsia="Calibri" w:hAnsi="Calibri"/>
          <w:color w:val="555555"/>
          <w:sz w:val="20"/>
          <w:szCs w:val="20"/>
        </w:rPr>
        <w:t xml:space="preserve">Version 1.0  •  2025</w:t>
      </w:r>
    </w:p>
    <w:p>
      <w:pPr>
        <w:jc w:val="center"/>
      </w:pPr>
      <w:r>
        <w:rPr>
          <w:rFonts w:ascii="Calibri" w:cs="Calibri" w:eastAsia="Calibri" w:hAnsi="Calibri"/>
          <w:b/>
          <w:bCs/>
          <w:color w:val="B83227"/>
          <w:sz w:val="20"/>
          <w:szCs w:val="20"/>
        </w:rPr>
        <w:t xml:space="preserve">Internal Use – Confidential</w:t>
      </w:r>
    </w:p>
    <w:p>
      <w:pPr>
        <w:sectPr>
          <w:pgSz w:w="11906" w:h="16838" w:orient="portrait"/>
          <w:pgMar w:top="1440" w:right="1440" w:bottom="1440" w:left="1440" w:header="708" w:footer="708" w:gutter="0"/>
          <w:pgNumType/>
          <w:docGrid w:linePitch="360"/>
        </w:sectPr>
      </w:pPr>
    </w:p>
    <w:p>
      <w:pPr>
        <w:spacing w:after="300"/>
      </w:pPr>
      <w:r>
        <w:rPr>
          <w:rFonts w:ascii="Georgia" w:cs="Georgia" w:eastAsia="Georgia" w:hAnsi="Georgia"/>
          <w:b/>
          <w:bCs/>
          <w:color w:val="1B2A4A"/>
          <w:sz w:val="34"/>
          <w:szCs w:val="34"/>
        </w:rP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80" w:after="200"/>
      </w:pPr>
      <w:r>
        <w:rPr>
          <w:rFonts w:ascii="Georgia" w:cs="Georgia" w:eastAsia="Georgia" w:hAnsi="Georgia"/>
          <w:b/>
          <w:bCs/>
          <w:color w:val="1B2A4A"/>
          <w:sz w:val="34"/>
          <w:szCs w:val="34"/>
        </w:rPr>
        <w:t xml:space="preserve">1. Introduction and Purpose</w:t>
      </w:r>
    </w:p>
    <w:p>
      <w:pPr>
        <w:pStyle w:val="Heading2"/>
        <w:spacing w:before="360" w:after="160"/>
      </w:pPr>
      <w:r>
        <w:rPr>
          <w:rFonts w:ascii="Georgia" w:cs="Georgia" w:eastAsia="Georgia" w:hAnsi="Georgia"/>
          <w:b/>
          <w:bCs/>
          <w:color w:val="2E75B6"/>
          <w:sz w:val="27"/>
          <w:szCs w:val="27"/>
        </w:rPr>
        <w:t xml:space="preserve">1.1 Why This Handbook Exists</w:t>
      </w:r>
    </w:p>
    <w:p>
      <w:pPr>
        <w:spacing w:after="160" w:line="300"/>
      </w:pPr>
      <w:r>
        <w:rPr>
          <w:rFonts w:ascii="Calibri" w:cs="Calibri" w:eastAsia="Calibri" w:hAnsi="Calibri"/>
          <w:color w:val="2D2D2D"/>
          <w:sz w:val="22"/>
          <w:szCs w:val="22"/>
        </w:rPr>
        <w:t xml:space="preserve">As a software testing services company, our role is to help clients deliver reliable, secure, and compliant software. The way we do that is changing. AI tools are beginning to enter the testing lifecycle, and client applications will increasingly include AI-powered features that we will be expected to test.</w:t>
      </w:r>
    </w:p>
    <w:p>
      <w:pPr>
        <w:spacing w:after="160" w:line="300"/>
      </w:pPr>
      <w:r>
        <w:rPr>
          <w:rFonts w:ascii="Calibri" w:cs="Calibri" w:eastAsia="Calibri" w:hAnsi="Calibri"/>
          <w:color w:val="2D2D2D"/>
          <w:sz w:val="22"/>
          <w:szCs w:val="22"/>
        </w:rPr>
        <w:t xml:space="preserve">We are in the early stages of this transition. Most of our teams are exploring what AI tools can do, and many of our clients are starting to build AI features into their products. Some of our clients — particularly those in the public sector — operate under strict security, privacy, and governance requirements that will shape how we adopt and use AI in our work.</w:t>
      </w:r>
    </w:p>
    <w:p>
      <w:pPr>
        <w:spacing w:after="160" w:line="300"/>
      </w:pPr>
      <w:r>
        <w:rPr>
          <w:rFonts w:ascii="Calibri" w:cs="Calibri" w:eastAsia="Calibri" w:hAnsi="Calibri"/>
          <w:color w:val="2D2D2D"/>
          <w:sz w:val="22"/>
          <w:szCs w:val="22"/>
        </w:rPr>
        <w:t xml:space="preserve">This handbook sets out the risks we need to understand, the practices we need to follow, and the standards we need to meet as AI becomes part of how we work and what we test. It is written now, while we are still in the exploration phase, so that we build good habits from the start rather than correcting bad ones later.</w:t>
      </w:r>
    </w:p>
    <w:p>
      <w:pPr>
        <w:pStyle w:val="Heading2"/>
        <w:spacing w:before="360" w:after="160"/>
      </w:pPr>
      <w:r>
        <w:rPr>
          <w:rFonts w:ascii="Georgia" w:cs="Georgia" w:eastAsia="Georgia" w:hAnsi="Georgia"/>
          <w:b/>
          <w:bCs/>
          <w:color w:val="2E75B6"/>
          <w:sz w:val="27"/>
          <w:szCs w:val="27"/>
        </w:rPr>
        <w:t xml:space="preserve">1.2 The Two Areas This Handbook Covers</w:t>
      </w:r>
    </w:p>
    <w:p>
      <w:pPr>
        <w:spacing w:after="160" w:line="300"/>
      </w:pPr>
      <w:r>
        <w:rPr>
          <w:rFonts w:ascii="Calibri" w:cs="Calibri" w:eastAsia="Calibri" w:hAnsi="Calibri"/>
          <w:color w:val="2D2D2D"/>
          <w:sz w:val="22"/>
          <w:szCs w:val="22"/>
        </w:rPr>
        <w:t xml:space="preserve">As AI matures in our industry, our teams will encounter it in two ways: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13"/>
        <w:gridCol w:w="3013"/>
      </w:tblGrid>
      <w:tr>
        <w:trPr>
          <w:tblHeader/>
        </w:trPr>
        <w:tc>
          <w:tcPr>
            <w:tcW w:type="dxa" w:w="2000"/>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Area</w:t>
            </w:r>
          </w:p>
        </w:tc>
        <w:tc>
          <w:tcPr>
            <w:tcW w:type="dxa" w:w="4013"/>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What This Means for Us</w:t>
            </w:r>
          </w:p>
        </w:tc>
        <w:tc>
          <w:tcPr>
            <w:tcW w:type="dxa" w:w="3013"/>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When This Will Affect Us</w:t>
            </w:r>
          </w:p>
        </w:tc>
      </w:tr>
      <w:tr>
        <w:tc>
          <w:tcPr>
            <w:tcW w:type="dxa" w:w="20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Using AI Tools in Our Testing Work</w:t>
            </w:r>
          </w:p>
        </w:tc>
        <w:tc>
          <w:tcPr>
            <w:tcW w:type="dxa" w:w="40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AI-powered code assistants, test case generators, test data generators, and conversational AI tools will become part of our day-to-day testing workflow.</w:t>
            </w:r>
          </w:p>
        </w:tc>
        <w:tc>
          <w:tcPr>
            <w:tcW w:type="dxa" w:w="30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This is beginning now. Some teams are already exploring these tools. Wider adoption will follow as tools mature and client policies clarify.</w:t>
            </w:r>
          </w:p>
        </w:tc>
      </w:tr>
      <w:tr>
        <w:tc>
          <w:tcPr>
            <w:tcW w:type="dxa" w:w="20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Testing AI Features in Client Applications</w:t>
            </w:r>
          </w:p>
        </w:tc>
        <w:tc>
          <w:tcPr>
            <w:tcW w:type="dxa" w:w="40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Client applications will increasingly include AI-powered features — chatbots, recommendation engines, classifiers, automated decision-making — that we will need to test for correctness, safety, fairness, and security.</w:t>
            </w:r>
          </w:p>
        </w:tc>
        <w:tc>
          <w:tcPr>
            <w:tcW w:type="dxa" w:w="30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This is starting to appear in client roadmaps. Government clients in particular will expect rigorous testing of any AI-powered features before deployment.</w:t>
            </w:r>
          </w:p>
        </w:tc>
      </w:tr>
    </w:tbl>
    <w:p>
      <w:pPr>
        <w:spacing w:after="100"/>
      </w:pPr>
    </w:p>
    <w:p>
      <w:pPr>
        <w:spacing w:after="160" w:line="300"/>
      </w:pPr>
      <w:r>
        <w:rPr>
          <w:rFonts w:ascii="Calibri" w:cs="Calibri" w:eastAsia="Calibri" w:hAnsi="Calibri"/>
          <w:color w:val="2D2D2D"/>
          <w:sz w:val="22"/>
          <w:szCs w:val="22"/>
        </w:rPr>
        <w:t xml:space="preserve">Both areas introduce security, privacy, and quality risks that our existing testing practices do not fully address. This handbook provides the guidance needed to manage those risks as they emerge.</w:t>
      </w:r>
    </w:p>
    <w:p>
      <w:pPr>
        <w:pStyle w:val="Heading2"/>
        <w:spacing w:before="360" w:after="160"/>
      </w:pPr>
      <w:r>
        <w:rPr>
          <w:rFonts w:ascii="Georgia" w:cs="Georgia" w:eastAsia="Georgia" w:hAnsi="Georgia"/>
          <w:b/>
          <w:bCs/>
          <w:color w:val="2E75B6"/>
          <w:sz w:val="27"/>
          <w:szCs w:val="27"/>
        </w:rPr>
        <w:t xml:space="preserve">1.3 Who This Handbook Is For</w:t>
      </w:r>
    </w:p>
    <w:p>
      <w:pPr>
        <w:pStyle w:val="ListParagraph"/>
        <w:numPr>
          <w:ilvl w:val="0"/>
          <w:numId w:val="2"/>
        </w:numPr>
        <w:spacing w:after="80" w:line="300"/>
      </w:pPr>
      <w:r>
        <w:rPr>
          <w:rFonts w:ascii="Calibri" w:cs="Calibri" w:eastAsia="Calibri" w:hAnsi="Calibri"/>
          <w:b/>
          <w:bCs/>
          <w:color w:val="2D2D2D"/>
          <w:sz w:val="22"/>
          <w:szCs w:val="22"/>
        </w:rPr>
        <w:t xml:space="preserve">Project Leads: </w:t>
      </w:r>
      <w:r>
        <w:rPr>
          <w:rFonts w:ascii="Calibri" w:cs="Calibri" w:eastAsia="Calibri" w:hAnsi="Calibri"/>
          <w:color w:val="2D2D2D"/>
          <w:sz w:val="22"/>
          <w:szCs w:val="22"/>
        </w:rPr>
        <w:t xml:space="preserve">You will make decisions about which AI tools are used on client engagements and how AI-related risks are communicated to clients.</w:t>
      </w:r>
    </w:p>
    <w:p>
      <w:pPr>
        <w:pStyle w:val="ListParagraph"/>
        <w:numPr>
          <w:ilvl w:val="0"/>
          <w:numId w:val="2"/>
        </w:numPr>
        <w:spacing w:after="80" w:line="300"/>
      </w:pPr>
      <w:r>
        <w:rPr>
          <w:rFonts w:ascii="Calibri" w:cs="Calibri" w:eastAsia="Calibri" w:hAnsi="Calibri"/>
          <w:b/>
          <w:bCs/>
          <w:color w:val="2D2D2D"/>
          <w:sz w:val="22"/>
          <w:szCs w:val="22"/>
        </w:rPr>
        <w:t xml:space="preserve">QA Leads and QA Architects: </w:t>
      </w:r>
      <w:r>
        <w:rPr>
          <w:rFonts w:ascii="Calibri" w:cs="Calibri" w:eastAsia="Calibri" w:hAnsi="Calibri"/>
          <w:color w:val="2D2D2D"/>
          <w:sz w:val="22"/>
          <w:szCs w:val="22"/>
        </w:rPr>
        <w:t xml:space="preserve">You will design test strategies that account for AI risks, both in the tools your teams use and in the AI features your teams test.</w:t>
      </w:r>
    </w:p>
    <w:p>
      <w:pPr>
        <w:pStyle w:val="ListParagraph"/>
        <w:numPr>
          <w:ilvl w:val="0"/>
          <w:numId w:val="2"/>
        </w:numPr>
        <w:spacing w:after="80" w:line="300"/>
      </w:pPr>
      <w:r>
        <w:rPr>
          <w:rFonts w:ascii="Calibri" w:cs="Calibri" w:eastAsia="Calibri" w:hAnsi="Calibri"/>
          <w:b/>
          <w:bCs/>
          <w:color w:val="2D2D2D"/>
          <w:sz w:val="22"/>
          <w:szCs w:val="22"/>
        </w:rPr>
        <w:t xml:space="preserve">Functional and Manual Testers: </w:t>
      </w:r>
      <w:r>
        <w:rPr>
          <w:rFonts w:ascii="Calibri" w:cs="Calibri" w:eastAsia="Calibri" w:hAnsi="Calibri"/>
          <w:color w:val="2D2D2D"/>
          <w:sz w:val="22"/>
          <w:szCs w:val="22"/>
        </w:rPr>
        <w:t xml:space="preserve">As AI tools become available, you will use them for test case creation, data preparation, and exploratory testing. You need to know what is safe to share with these tools and what is not.</w:t>
      </w:r>
    </w:p>
    <w:p>
      <w:pPr>
        <w:pStyle w:val="ListParagraph"/>
        <w:numPr>
          <w:ilvl w:val="0"/>
          <w:numId w:val="2"/>
        </w:numPr>
        <w:spacing w:after="80" w:line="300"/>
      </w:pPr>
      <w:r>
        <w:rPr>
          <w:rFonts w:ascii="Calibri" w:cs="Calibri" w:eastAsia="Calibri" w:hAnsi="Calibri"/>
          <w:b/>
          <w:bCs/>
          <w:color w:val="2D2D2D"/>
          <w:sz w:val="22"/>
          <w:szCs w:val="22"/>
        </w:rPr>
        <w:t xml:space="preserve">Automation Engineers: </w:t>
      </w:r>
      <w:r>
        <w:rPr>
          <w:rFonts w:ascii="Calibri" w:cs="Calibri" w:eastAsia="Calibri" w:hAnsi="Calibri"/>
          <w:color w:val="2D2D2D"/>
          <w:sz w:val="22"/>
          <w:szCs w:val="22"/>
        </w:rPr>
        <w:t xml:space="preserve">You will be the first to integrate AI tools into test frameworks and pipelines. You need to understand the security implications of that integration.</w:t>
      </w:r>
    </w:p>
    <w:p>
      <w:pPr>
        <w:pStyle w:val="Heading2"/>
        <w:spacing w:before="360" w:after="160"/>
      </w:pPr>
      <w:r>
        <w:rPr>
          <w:rFonts w:ascii="Georgia" w:cs="Georgia" w:eastAsia="Georgia" w:hAnsi="Georgia"/>
          <w:b/>
          <w:bCs/>
          <w:color w:val="2E75B6"/>
          <w:sz w:val="27"/>
          <w:szCs w:val="27"/>
        </w:rPr>
        <w:t xml:space="preserve">1.4 Our Responsibility as a Testing Services Company</w:t>
      </w:r>
    </w:p>
    <w:p>
      <w:pPr>
        <w:spacing w:after="160" w:line="300"/>
      </w:pPr>
      <w:r>
        <w:rPr>
          <w:rFonts w:ascii="Calibri" w:cs="Calibri" w:eastAsia="Calibri" w:hAnsi="Calibri"/>
          <w:color w:val="2D2D2D"/>
          <w:sz w:val="22"/>
          <w:szCs w:val="22"/>
        </w:rPr>
        <w:t xml:space="preserve">We are not building these AI tools, and in most cases we are not building the AI features in client applications. But we are responsible for how we use AI tools when serving our clients, and we are responsible for the quality and thoroughness of our testing when client applications include AI features.</w:t>
      </w:r>
    </w:p>
    <w:p>
      <w:pPr>
        <w:spacing w:after="160" w:line="300"/>
      </w:pPr>
      <w:r>
        <w:rPr>
          <w:rFonts w:ascii="Calibri" w:cs="Calibri" w:eastAsia="Calibri" w:hAnsi="Calibri"/>
          <w:color w:val="2D2D2D"/>
          <w:sz w:val="22"/>
          <w:szCs w:val="22"/>
        </w:rPr>
        <w:t xml:space="preserve">This means we carry a dual responsibility: protecting our clients’ data and interests when we use AI in our own work, and helping our clients understand and manage the risks in the AI features we test on their behalf.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9D1" w:sz="1"/>
              <w:left w:val="single" w:color="B83227" w:sz="10"/>
              <w:bottom w:val="single" w:color="BFC9D1" w:sz="1"/>
              <w:right w:val="single" w:color="BFC9D1" w:sz="1"/>
            </w:tcBorders>
            <w:shd w:fill="FEF0EF" w:val="clear"/>
            <w:tcMar>
              <w:top w:type="dxa" w:w="100"/>
              <w:left w:type="dxa" w:w="180"/>
              <w:bottom w:type="dxa" w:w="100"/>
              <w:right w:type="dxa" w:w="180"/>
            </w:tcMar>
          </w:tcPr>
          <w:p>
            <w:pPr>
              <w:spacing w:after="50"/>
            </w:pPr>
            <w:r>
              <w:rPr>
                <w:rFonts w:ascii="Calibri" w:cs="Calibri" w:eastAsia="Calibri" w:hAnsi="Calibri"/>
                <w:b/>
                <w:bCs/>
                <w:color w:val="B83227"/>
                <w:sz w:val="21"/>
                <w:szCs w:val="21"/>
              </w:rPr>
              <w:t xml:space="preserve">Why This Matters for Government and Public Sector Clients</w:t>
            </w:r>
          </w:p>
          <w:p>
            <w:pPr>
              <w:spacing w:after="0" w:line="280"/>
            </w:pPr>
            <w:r>
              <w:rPr>
                <w:rFonts w:ascii="Calibri" w:cs="Calibri" w:eastAsia="Calibri" w:hAnsi="Calibri"/>
                <w:color w:val="2D2D2D"/>
                <w:sz w:val="20"/>
                <w:szCs w:val="20"/>
              </w:rPr>
              <w:t xml:space="preserve">Government projects operate under heightened security, privacy, and accountability requirements. Data sovereignty, information classification, and audit trail obligations are stricter. When we work on government engagements, any AI tool we use must meet these elevated standards. Any AI feature we test must be validated against public sector governance expectations. Getting this wrong does not just risk a fine — it risks the client relationship and our reputation in the sector.</w:t>
            </w:r>
          </w:p>
        </w:tc>
      </w:tr>
    </w:tbl>
    <w:p>
      <w:pPr>
        <w:spacing w:after="100"/>
      </w:pPr>
    </w:p>
    <w:p>
      <w:pPr>
        <w:pStyle w:val="Heading2"/>
        <w:spacing w:before="360" w:after="160"/>
      </w:pPr>
      <w:r>
        <w:rPr>
          <w:rFonts w:ascii="Georgia" w:cs="Georgia" w:eastAsia="Georgia" w:hAnsi="Georgia"/>
          <w:b/>
          <w:bCs/>
          <w:color w:val="2E75B6"/>
          <w:sz w:val="27"/>
          <w:szCs w:val="27"/>
        </w:rPr>
        <w:t xml:space="preserve">1.5 How to Use This Handbook</w:t>
      </w:r>
    </w:p>
    <w:p>
      <w:pPr>
        <w:spacing w:after="160" w:line="300"/>
      </w:pPr>
      <w:r>
        <w:rPr>
          <w:rFonts w:ascii="Calibri" w:cs="Calibri" w:eastAsia="Calibri" w:hAnsi="Calibri"/>
          <w:color w:val="2D2D2D"/>
          <w:sz w:val="22"/>
          <w:szCs w:val="22"/>
        </w:rPr>
        <w:t xml:space="preserve">This handbook is structured to be read in full during onboarding and used as a reference during active engagements. Each chapter addresses a specific area of concern. The checklists in Chapter 13 are designed for practical use during project setup, sprint planning, and periodic reviews.</w:t>
      </w:r>
    </w:p>
    <w:p>
      <w:pPr>
        <w:spacing w:after="160" w:line="300"/>
      </w:pPr>
      <w:r>
        <w:rPr>
          <w:rFonts w:ascii="Calibri" w:cs="Calibri" w:eastAsia="Calibri" w:hAnsi="Calibri"/>
          <w:color w:val="2D2D2D"/>
          <w:sz w:val="22"/>
          <w:szCs w:val="22"/>
        </w:rPr>
        <w:t xml:space="preserve">As AI adoption progresses within the organisation, this document will be updated. The principles, however, are intended to remain stable: protect client data, maintain quality standards, stay compliant, and be transparent.</w:t>
      </w:r>
    </w:p>
    <w:p>
      <w:r>
        <w:br w:type="page"/>
      </w:r>
    </w:p>
    <w:p>
      <w:pPr>
        <w:pStyle w:val="Heading1"/>
        <w:spacing w:before="480" w:after="200"/>
      </w:pPr>
      <w:r>
        <w:rPr>
          <w:rFonts w:ascii="Georgia" w:cs="Georgia" w:eastAsia="Georgia" w:hAnsi="Georgia"/>
          <w:b/>
          <w:bCs/>
          <w:color w:val="1B2A4A"/>
          <w:sz w:val="34"/>
          <w:szCs w:val="34"/>
        </w:rPr>
        <w:t xml:space="preserve">2. Understanding AI in Software Testing</w:t>
      </w:r>
    </w:p>
    <w:p>
      <w:pPr>
        <w:pStyle w:val="Heading2"/>
        <w:spacing w:before="360" w:after="160"/>
      </w:pPr>
      <w:r>
        <w:rPr>
          <w:rFonts w:ascii="Georgia" w:cs="Georgia" w:eastAsia="Georgia" w:hAnsi="Georgia"/>
          <w:b/>
          <w:bCs/>
          <w:color w:val="2E75B6"/>
          <w:sz w:val="27"/>
          <w:szCs w:val="27"/>
        </w:rPr>
        <w:t xml:space="preserve">2.1 AI Tools That Will Enter the Testing Lifecycle</w:t>
      </w:r>
    </w:p>
    <w:p>
      <w:pPr>
        <w:spacing w:after="160" w:line="300"/>
      </w:pPr>
      <w:r>
        <w:rPr>
          <w:rFonts w:ascii="Calibri" w:cs="Calibri" w:eastAsia="Calibri" w:hAnsi="Calibri"/>
          <w:color w:val="2D2D2D"/>
          <w:sz w:val="22"/>
          <w:szCs w:val="22"/>
        </w:rPr>
        <w:t xml:space="preserve">As AI tools become more reliable and our clients’ policies around AI use become clearer, the following categories of tools are likely to become part of our testing workflow: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2213"/>
        <w:gridCol w:w="3813"/>
      </w:tblGrid>
      <w:tr>
        <w:trPr>
          <w:tblHeader/>
        </w:trPr>
        <w:tc>
          <w:tcPr>
            <w:tcW w:type="dxa" w:w="1300"/>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Category</w:t>
            </w:r>
          </w:p>
        </w:tc>
        <w:tc>
          <w:tcPr>
            <w:tcW w:type="dxa" w:w="1700"/>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What It Does</w:t>
            </w:r>
          </w:p>
        </w:tc>
        <w:tc>
          <w:tcPr>
            <w:tcW w:type="dxa" w:w="2213"/>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How It Will Be Used in Our Work</w:t>
            </w:r>
          </w:p>
        </w:tc>
        <w:tc>
          <w:tcPr>
            <w:tcW w:type="dxa" w:w="3813"/>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Data That Leaves Our Control</w:t>
            </w:r>
          </w:p>
        </w:tc>
      </w:tr>
      <w:tr>
        <w:tc>
          <w:tcPr>
            <w:tcW w:type="dxa" w:w="13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Code Assistants</w:t>
            </w:r>
          </w:p>
        </w:tc>
        <w:tc>
          <w:tcPr>
            <w:tcW w:type="dxa" w:w="17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Autocompletes code, suggests test assertions, generates boilerplate</w:t>
            </w:r>
          </w:p>
        </w:tc>
        <w:tc>
          <w:tcPr>
            <w:tcW w:type="dxa" w:w="22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Writing and maintaining automation scripts, generating unit tests, refactoring test code</w:t>
            </w:r>
          </w:p>
        </w:tc>
        <w:tc>
          <w:tcPr>
            <w:tcW w:type="dxa" w:w="38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Open files, function signatures, comments, and adjacent code sent to provider servers</w:t>
            </w:r>
          </w:p>
        </w:tc>
      </w:tr>
      <w:tr>
        <w:tc>
          <w:tcPr>
            <w:tcW w:type="dxa" w:w="13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Conversational AI</w:t>
            </w:r>
          </w:p>
        </w:tc>
        <w:tc>
          <w:tcPr>
            <w:tcW w:type="dxa" w:w="17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Answers questions, generates test cases from requirements, explains errors</w:t>
            </w:r>
          </w:p>
        </w:tc>
        <w:tc>
          <w:tcPr>
            <w:tcW w:type="dxa" w:w="22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Generating test scenarios from client requirements, debugging test failures, understanding unfamiliar domains</w:t>
            </w:r>
          </w:p>
        </w:tc>
        <w:tc>
          <w:tcPr>
            <w:tcW w:type="dxa" w:w="38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All text typed or files uploaded are processed on third-party infrastructure</w:t>
            </w:r>
          </w:p>
        </w:tc>
      </w:tr>
      <w:tr>
        <w:tc>
          <w:tcPr>
            <w:tcW w:type="dxa" w:w="13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Test Case Generators</w:t>
            </w:r>
          </w:p>
        </w:tc>
        <w:tc>
          <w:tcPr>
            <w:tcW w:type="dxa" w:w="17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Creates test cases from specifications, user stories, or API definitions</w:t>
            </w:r>
          </w:p>
        </w:tc>
        <w:tc>
          <w:tcPr>
            <w:tcW w:type="dxa" w:w="22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Producing initial test case sets for review, identifying edge cases, expanding coverage</w:t>
            </w:r>
          </w:p>
        </w:tc>
        <w:tc>
          <w:tcPr>
            <w:tcW w:type="dxa" w:w="38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Client requirements, API specs, and business rules shared as input</w:t>
            </w:r>
          </w:p>
        </w:tc>
      </w:tr>
      <w:tr>
        <w:tc>
          <w:tcPr>
            <w:tcW w:type="dxa" w:w="13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Test Data Generators</w:t>
            </w:r>
          </w:p>
        </w:tc>
        <w:tc>
          <w:tcPr>
            <w:tcW w:type="dxa" w:w="17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Creates synthetic data from schemas or example records</w:t>
            </w:r>
          </w:p>
        </w:tc>
        <w:tc>
          <w:tcPr>
            <w:tcW w:type="dxa" w:w="22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Generating realistic test data without using production data</w:t>
            </w:r>
          </w:p>
        </w:tc>
        <w:tc>
          <w:tcPr>
            <w:tcW w:type="dxa" w:w="38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Schemas, data structures, and any examples provided as input</w:t>
            </w:r>
          </w:p>
        </w:tc>
      </w:tr>
      <w:tr>
        <w:tc>
          <w:tcPr>
            <w:tcW w:type="dxa" w:w="13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Visual Testing Tools</w:t>
            </w:r>
          </w:p>
        </w:tc>
        <w:tc>
          <w:tcPr>
            <w:tcW w:type="dxa" w:w="17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Detects visual differences using AI-powered comparison</w:t>
            </w:r>
          </w:p>
        </w:tc>
        <w:tc>
          <w:tcPr>
            <w:tcW w:type="dxa" w:w="22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UI regression testing across browsers and devices</w:t>
            </w:r>
          </w:p>
        </w:tc>
        <w:tc>
          <w:tcPr>
            <w:tcW w:type="dxa" w:w="38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Application screenshots transmitted to vendor infrastructure</w:t>
            </w:r>
          </w:p>
        </w:tc>
      </w:tr>
      <w:tr>
        <w:tc>
          <w:tcPr>
            <w:tcW w:type="dxa" w:w="13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Self-Healing Test Tools</w:t>
            </w:r>
          </w:p>
        </w:tc>
        <w:tc>
          <w:tcPr>
            <w:tcW w:type="dxa" w:w="17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Uses ML to adapt test locators when the UI changes</w:t>
            </w:r>
          </w:p>
        </w:tc>
        <w:tc>
          <w:tcPr>
            <w:tcW w:type="dxa" w:w="22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Reducing test maintenance overhead in automation suites</w:t>
            </w:r>
          </w:p>
        </w:tc>
        <w:tc>
          <w:tcPr>
            <w:tcW w:type="dxa" w:w="38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Application DOM structure and element attributes shared with the tool</w:t>
            </w:r>
          </w:p>
        </w:tc>
      </w:tr>
    </w:tbl>
    <w:p>
      <w:pPr>
        <w:spacing w:after="100"/>
      </w:pPr>
    </w:p>
    <w:p>
      <w:pPr>
        <w:pStyle w:val="Heading2"/>
        <w:spacing w:before="360" w:after="160"/>
      </w:pPr>
      <w:r>
        <w:rPr>
          <w:rFonts w:ascii="Georgia" w:cs="Georgia" w:eastAsia="Georgia" w:hAnsi="Georgia"/>
          <w:b/>
          <w:bCs/>
          <w:color w:val="2E75B6"/>
          <w:sz w:val="27"/>
          <w:szCs w:val="27"/>
        </w:rPr>
        <w:t xml:space="preserve">2.2 How These Tools Handle Data</w:t>
      </w:r>
    </w:p>
    <w:p>
      <w:pPr>
        <w:spacing w:after="160" w:line="300"/>
      </w:pPr>
      <w:r>
        <w:rPr>
          <w:rFonts w:ascii="Calibri" w:cs="Calibri" w:eastAsia="Calibri" w:hAnsi="Calibri"/>
          <w:color w:val="2D2D2D"/>
          <w:sz w:val="22"/>
          <w:szCs w:val="22"/>
        </w:rPr>
        <w:t xml:space="preserve">Before we adopt any AI tool, our teams need to understand what happens to the data we provide. This understanding will become increasingly important as we move from exploration to adoption.</w:t>
      </w:r>
    </w:p>
    <w:p>
      <w:pPr>
        <w:pStyle w:val="ListParagraph"/>
        <w:numPr>
          <w:ilvl w:val="0"/>
          <w:numId w:val="2"/>
        </w:numPr>
        <w:spacing w:after="80" w:line="300"/>
      </w:pPr>
      <w:r>
        <w:rPr>
          <w:rFonts w:ascii="Calibri" w:cs="Calibri" w:eastAsia="Calibri" w:hAnsi="Calibri"/>
          <w:b/>
          <w:bCs/>
          <w:color w:val="2D2D2D"/>
          <w:sz w:val="22"/>
          <w:szCs w:val="22"/>
        </w:rPr>
        <w:t xml:space="preserve">Input processing: </w:t>
      </w:r>
      <w:r>
        <w:rPr>
          <w:rFonts w:ascii="Calibri" w:cs="Calibri" w:eastAsia="Calibri" w:hAnsi="Calibri"/>
          <w:color w:val="2D2D2D"/>
          <w:sz w:val="22"/>
          <w:szCs w:val="22"/>
        </w:rPr>
        <w:t xml:space="preserve">When we submit a prompt, paste code, or upload a file, the content is sent to the provider’s servers. Even where the provider has a “no training” policy, the data transits infrastructure we do not control.</w:t>
      </w:r>
    </w:p>
    <w:p>
      <w:pPr>
        <w:pStyle w:val="ListParagraph"/>
        <w:numPr>
          <w:ilvl w:val="0"/>
          <w:numId w:val="2"/>
        </w:numPr>
        <w:spacing w:after="80" w:line="300"/>
      </w:pPr>
      <w:r>
        <w:rPr>
          <w:rFonts w:ascii="Calibri" w:cs="Calibri" w:eastAsia="Calibri" w:hAnsi="Calibri"/>
          <w:b/>
          <w:bCs/>
          <w:color w:val="2D2D2D"/>
          <w:sz w:val="22"/>
          <w:szCs w:val="22"/>
        </w:rPr>
        <w:t xml:space="preserve">Context scope: </w:t>
      </w:r>
      <w:r>
        <w:rPr>
          <w:rFonts w:ascii="Calibri" w:cs="Calibri" w:eastAsia="Calibri" w:hAnsi="Calibri"/>
          <w:color w:val="2D2D2D"/>
          <w:sz w:val="22"/>
          <w:szCs w:val="22"/>
        </w:rPr>
        <w:t xml:space="preserve">Code assistants do not only read the line being edited. They read the full open file and may read adjacent files for context. More of the codebase is transmitted than most people expect.</w:t>
      </w:r>
    </w:p>
    <w:p>
      <w:pPr>
        <w:pStyle w:val="ListParagraph"/>
        <w:numPr>
          <w:ilvl w:val="0"/>
          <w:numId w:val="2"/>
        </w:numPr>
        <w:spacing w:after="80" w:line="300"/>
      </w:pPr>
      <w:r>
        <w:rPr>
          <w:rFonts w:ascii="Calibri" w:cs="Calibri" w:eastAsia="Calibri" w:hAnsi="Calibri"/>
          <w:b/>
          <w:bCs/>
          <w:color w:val="2D2D2D"/>
          <w:sz w:val="22"/>
          <w:szCs w:val="22"/>
        </w:rPr>
        <w:t xml:space="preserve">Conversation history: </w:t>
      </w:r>
      <w:r>
        <w:rPr>
          <w:rFonts w:ascii="Calibri" w:cs="Calibri" w:eastAsia="Calibri" w:hAnsi="Calibri"/>
          <w:color w:val="2D2D2D"/>
          <w:sz w:val="22"/>
          <w:szCs w:val="22"/>
        </w:rPr>
        <w:t xml:space="preserve">Chat-based AI tools retain session history by default. Information shared in earlier messages remains stored on the provider’s platform, sometimes for weeks or months.</w:t>
      </w:r>
    </w:p>
    <w:p>
      <w:pPr>
        <w:pStyle w:val="ListParagraph"/>
        <w:numPr>
          <w:ilvl w:val="0"/>
          <w:numId w:val="2"/>
        </w:numPr>
        <w:spacing w:after="80" w:line="300"/>
      </w:pPr>
      <w:r>
        <w:rPr>
          <w:rFonts w:ascii="Calibri" w:cs="Calibri" w:eastAsia="Calibri" w:hAnsi="Calibri"/>
          <w:b/>
          <w:bCs/>
          <w:color w:val="2D2D2D"/>
          <w:sz w:val="22"/>
          <w:szCs w:val="22"/>
        </w:rPr>
        <w:t xml:space="preserve">Caching and logging: </w:t>
      </w:r>
      <w:r>
        <w:rPr>
          <w:rFonts w:ascii="Calibri" w:cs="Calibri" w:eastAsia="Calibri" w:hAnsi="Calibri"/>
          <w:color w:val="2D2D2D"/>
          <w:sz w:val="22"/>
          <w:szCs w:val="22"/>
        </w:rPr>
        <w:t xml:space="preserve">Most providers log interactions for monitoring and abuse prevention, even when data is not used for model training. These logs may persist according to the provider’s retention policy, not 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9D1" w:sz="1"/>
              <w:left w:val="single" w:color="2E75B6" w:sz="10"/>
              <w:bottom w:val="single" w:color="BFC9D1" w:sz="1"/>
              <w:right w:val="single" w:color="BFC9D1" w:sz="1"/>
            </w:tcBorders>
            <w:shd w:fill="EBF1F8" w:val="clear"/>
            <w:tcMar>
              <w:top w:type="dxa" w:w="100"/>
              <w:left w:type="dxa" w:w="180"/>
              <w:bottom w:type="dxa" w:w="100"/>
              <w:right w:type="dxa" w:w="180"/>
            </w:tcMar>
          </w:tcPr>
          <w:p>
            <w:pPr>
              <w:spacing w:after="50"/>
            </w:pPr>
            <w:r>
              <w:rPr>
                <w:rFonts w:ascii="Calibri" w:cs="Calibri" w:eastAsia="Calibri" w:hAnsi="Calibri"/>
                <w:b/>
                <w:bCs/>
                <w:color w:val="2E75B6"/>
                <w:sz w:val="21"/>
                <w:szCs w:val="21"/>
              </w:rPr>
              <w:t xml:space="preserve">Key Principle for Client Engagements</w:t>
            </w:r>
          </w:p>
          <w:p>
            <w:pPr>
              <w:spacing w:after="0" w:line="280"/>
            </w:pPr>
            <w:r>
              <w:rPr>
                <w:rFonts w:ascii="Calibri" w:cs="Calibri" w:eastAsia="Calibri" w:hAnsi="Calibri"/>
                <w:color w:val="2D2D2D"/>
                <w:sz w:val="20"/>
                <w:szCs w:val="20"/>
              </w:rPr>
              <w:t xml:space="preserve">Any data sent to an AI tool leaves our control boundary and, by extension, leaves the client’s control boundary. When we work on a client engagement, we are custodians of their data. Sending that data to a third-party AI service is a data transfer that requires the same governance as any other external data sharing.</w:t>
            </w:r>
          </w:p>
        </w:tc>
      </w:tr>
    </w:tbl>
    <w:p>
      <w:pPr>
        <w:spacing w:after="100"/>
      </w:pPr>
    </w:p>
    <w:p>
      <w:pPr>
        <w:pStyle w:val="Heading2"/>
        <w:spacing w:before="360" w:after="160"/>
      </w:pPr>
      <w:r>
        <w:rPr>
          <w:rFonts w:ascii="Georgia" w:cs="Georgia" w:eastAsia="Georgia" w:hAnsi="Georgia"/>
          <w:b/>
          <w:bCs/>
          <w:color w:val="2E75B6"/>
          <w:sz w:val="27"/>
          <w:szCs w:val="27"/>
        </w:rPr>
        <w:t xml:space="preserve">2.3 Classifying AI Tools for Client Engagements</w:t>
      </w:r>
    </w:p>
    <w:p>
      <w:pPr>
        <w:spacing w:after="160" w:line="300"/>
      </w:pPr>
      <w:r>
        <w:rPr>
          <w:rFonts w:ascii="Calibri" w:cs="Calibri" w:eastAsia="Calibri" w:hAnsi="Calibri"/>
          <w:color w:val="2D2D2D"/>
          <w:sz w:val="22"/>
          <w:szCs w:val="22"/>
        </w:rPr>
        <w:t xml:space="preserve">As we evaluate AI tools for use on client projects, each tool should be classified based on the data it handles and the protections it offers: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13"/>
        <w:gridCol w:w="3013"/>
      </w:tblGrid>
      <w:tr>
        <w:trPr>
          <w:tblHeader/>
        </w:trPr>
        <w:tc>
          <w:tcPr>
            <w:tcW w:type="dxa" w:w="1600"/>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Trust Level</w:t>
            </w:r>
          </w:p>
        </w:tc>
        <w:tc>
          <w:tcPr>
            <w:tcW w:type="dxa" w:w="2200"/>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Characteristics</w:t>
            </w:r>
          </w:p>
        </w:tc>
        <w:tc>
          <w:tcPr>
            <w:tcW w:type="dxa" w:w="2213"/>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Suitable for Client Work?</w:t>
            </w:r>
          </w:p>
        </w:tc>
        <w:tc>
          <w:tcPr>
            <w:tcW w:type="dxa" w:w="3013"/>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Data Permitted</w:t>
            </w:r>
          </w:p>
        </w:tc>
      </w:tr>
      <w:tr>
        <w:tc>
          <w:tcPr>
            <w:tcW w:type="dxa" w:w="16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Self-Hosted / On-Premises</w:t>
            </w:r>
          </w:p>
        </w:tc>
        <w:tc>
          <w:tcPr>
            <w:tcW w:type="dxa" w:w="22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Model runs entirely within our or the client’s infrastructure. No external data transfer.</w:t>
            </w:r>
          </w:p>
        </w:tc>
        <w:tc>
          <w:tcPr>
            <w:tcW w:type="dxa" w:w="22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Yes, subject to internal and client approval</w:t>
            </w:r>
          </w:p>
        </w:tc>
        <w:tc>
          <w:tcPr>
            <w:tcW w:type="dxa" w:w="30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All data types, per classification policy</w:t>
            </w:r>
          </w:p>
        </w:tc>
      </w:tr>
      <w:tr>
        <w:tc>
          <w:tcPr>
            <w:tcW w:type="dxa" w:w="16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Enterprise Cloud (Contracted)</w:t>
            </w:r>
          </w:p>
        </w:tc>
        <w:tc>
          <w:tcPr>
            <w:tcW w:type="dxa" w:w="22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SOC2/ISO 27001. Data processing agreement in place. No-training clause. Data residency confirmed.</w:t>
            </w:r>
          </w:p>
        </w:tc>
        <w:tc>
          <w:tcPr>
            <w:tcW w:type="dxa" w:w="22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Yes, for approved data types only</w:t>
            </w:r>
          </w:p>
        </w:tc>
        <w:tc>
          <w:tcPr>
            <w:tcW w:type="dxa" w:w="30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Internal data, anonymised data, synthetic data. No production PII without explicit legal approval.</w:t>
            </w:r>
          </w:p>
        </w:tc>
      </w:tr>
      <w:tr>
        <w:tc>
          <w:tcPr>
            <w:tcW w:type="dxa" w:w="16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Cloud (Free or Personal Tier)</w:t>
            </w:r>
          </w:p>
        </w:tc>
        <w:tc>
          <w:tcPr>
            <w:tcW w:type="dxa" w:w="22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No contractual protections. Data may be used for model training by the provider.</w:t>
            </w:r>
          </w:p>
        </w:tc>
        <w:tc>
          <w:tcPr>
            <w:tcW w:type="dxa" w:w="22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No. Not suitable for any client engagement.</w:t>
            </w:r>
          </w:p>
        </w:tc>
        <w:tc>
          <w:tcPr>
            <w:tcW w:type="dxa" w:w="30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Only publicly available, non-proprietary information.</w:t>
            </w:r>
          </w:p>
        </w:tc>
      </w:tr>
      <w:tr>
        <w:tc>
          <w:tcPr>
            <w:tcW w:type="dxa" w:w="16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Unvetted / Unknown</w:t>
            </w:r>
          </w:p>
        </w:tc>
        <w:tc>
          <w:tcPr>
            <w:tcW w:type="dxa" w:w="22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No published security certifications or data handling policy.</w:t>
            </w:r>
          </w:p>
        </w:tc>
        <w:tc>
          <w:tcPr>
            <w:tcW w:type="dxa" w:w="22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No. Under no circumstances.</w:t>
            </w:r>
          </w:p>
        </w:tc>
        <w:tc>
          <w:tcPr>
            <w:tcW w:type="dxa" w:w="30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No data of any kind.</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9D1" w:sz="1"/>
              <w:left w:val="single" w:color="B83227" w:sz="10"/>
              <w:bottom w:val="single" w:color="BFC9D1" w:sz="1"/>
              <w:right w:val="single" w:color="BFC9D1" w:sz="1"/>
            </w:tcBorders>
            <w:shd w:fill="FEF0EF" w:val="clear"/>
            <w:tcMar>
              <w:top w:type="dxa" w:w="100"/>
              <w:left w:type="dxa" w:w="180"/>
              <w:bottom w:type="dxa" w:w="100"/>
              <w:right w:type="dxa" w:w="180"/>
            </w:tcMar>
          </w:tcPr>
          <w:p>
            <w:pPr>
              <w:spacing w:after="50"/>
            </w:pPr>
            <w:r>
              <w:rPr>
                <w:rFonts w:ascii="Calibri" w:cs="Calibri" w:eastAsia="Calibri" w:hAnsi="Calibri"/>
                <w:b/>
                <w:bCs/>
                <w:color w:val="B83227"/>
                <w:sz w:val="21"/>
                <w:szCs w:val="21"/>
              </w:rPr>
              <w:t xml:space="preserve">Government and Public Sector Note</w:t>
            </w:r>
          </w:p>
          <w:p>
            <w:pPr>
              <w:spacing w:after="0" w:line="280"/>
            </w:pPr>
            <w:r>
              <w:rPr>
                <w:rFonts w:ascii="Calibri" w:cs="Calibri" w:eastAsia="Calibri" w:hAnsi="Calibri"/>
                <w:color w:val="2D2D2D"/>
                <w:sz w:val="20"/>
                <w:szCs w:val="20"/>
              </w:rPr>
              <w:t xml:space="preserve">Government clients will often require that data remains within UK or EEA data centres. Cloud-based AI tools that process data in the United States or other jurisdictions may not meet these requirements. Data residency must be verified before any AI tool is used on a government engagement.</w:t>
            </w:r>
          </w:p>
        </w:tc>
      </w:tr>
    </w:tbl>
    <w:p>
      <w:pPr>
        <w:spacing w:after="100"/>
      </w:pPr>
    </w:p>
    <w:p>
      <w:r>
        <w:br w:type="page"/>
      </w:r>
    </w:p>
    <w:p>
      <w:pPr>
        <w:pStyle w:val="Heading1"/>
        <w:spacing w:before="480" w:after="200"/>
      </w:pPr>
      <w:r>
        <w:rPr>
          <w:rFonts w:ascii="Georgia" w:cs="Georgia" w:eastAsia="Georgia" w:hAnsi="Georgia"/>
          <w:b/>
          <w:bCs/>
          <w:color w:val="1B2A4A"/>
          <w:sz w:val="34"/>
          <w:szCs w:val="34"/>
        </w:rPr>
        <w:t xml:space="preserve">3. Security Risks and Mitigation</w:t>
      </w:r>
    </w:p>
    <w:p>
      <w:pPr>
        <w:spacing w:after="160" w:line="300"/>
      </w:pPr>
      <w:r>
        <w:rPr>
          <w:rFonts w:ascii="Calibri" w:cs="Calibri" w:eastAsia="Calibri" w:hAnsi="Calibri"/>
          <w:color w:val="2D2D2D"/>
          <w:sz w:val="22"/>
          <w:szCs w:val="22"/>
        </w:rPr>
        <w:t xml:space="preserve">As AI tools become part of our testing workflow, new security risks will emerge alongside the traditional ones. This chapter maps the risks we will face and the controls we need to put in place before wider adoption begins.</w:t>
      </w:r>
    </w:p>
    <w:p>
      <w:pPr>
        <w:pStyle w:val="Heading2"/>
        <w:spacing w:before="360" w:after="160"/>
      </w:pPr>
      <w:r>
        <w:rPr>
          <w:rFonts w:ascii="Georgia" w:cs="Georgia" w:eastAsia="Georgia" w:hAnsi="Georgia"/>
          <w:b/>
          <w:bCs/>
          <w:color w:val="2E75B6"/>
          <w:sz w:val="27"/>
          <w:szCs w:val="27"/>
        </w:rPr>
        <w:t xml:space="preserve">3.1 Data Leakage Through AI Tools</w:t>
      </w:r>
    </w:p>
    <w:p>
      <w:pPr>
        <w:spacing w:after="160" w:line="300"/>
      </w:pPr>
      <w:r>
        <w:rPr>
          <w:rFonts w:ascii="Calibri" w:cs="Calibri" w:eastAsia="Calibri" w:hAnsi="Calibri"/>
          <w:color w:val="2D2D2D"/>
          <w:sz w:val="22"/>
          <w:szCs w:val="22"/>
        </w:rPr>
        <w:t xml:space="preserve">This will be the most common risk. It will happen when client data, credentials, or internal information is submitted to an AI tool and leaves the boundaries of the client’s and our own infrastructure.</w:t>
      </w:r>
    </w:p>
    <w:p>
      <w:pPr>
        <w:pStyle w:val="Heading3"/>
        <w:spacing w:before="240" w:after="120"/>
      </w:pPr>
      <w:r>
        <w:rPr>
          <w:rFonts w:ascii="Georgia" w:cs="Georgia" w:eastAsia="Georgia" w:hAnsi="Georgia"/>
          <w:b/>
          <w:bCs/>
          <w:color w:val="1B2A4A"/>
          <w:sz w:val="23"/>
          <w:szCs w:val="23"/>
        </w:rPr>
        <w:t xml:space="preserve">How This Is Likely to Happen</w:t>
      </w:r>
    </w:p>
    <w:p>
      <w:pPr>
        <w:pStyle w:val="ListParagraph"/>
        <w:numPr>
          <w:ilvl w:val="0"/>
          <w:numId w:val="2"/>
        </w:numPr>
        <w:spacing w:after="80" w:line="300"/>
      </w:pPr>
      <w:r>
        <w:rPr>
          <w:rFonts w:ascii="Calibri" w:cs="Calibri" w:eastAsia="Calibri" w:hAnsi="Calibri"/>
          <w:color w:val="2D2D2D"/>
          <w:sz w:val="22"/>
          <w:szCs w:val="22"/>
        </w:rPr>
        <w:t xml:space="preserve">A tester pastes a client’s API response into a conversational AI tool to understand an error, not realising the response contains customer records.</w:t>
      </w:r>
    </w:p>
    <w:p>
      <w:pPr>
        <w:pStyle w:val="ListParagraph"/>
        <w:numPr>
          <w:ilvl w:val="0"/>
          <w:numId w:val="2"/>
        </w:numPr>
        <w:spacing w:after="80" w:line="300"/>
      </w:pPr>
      <w:r>
        <w:rPr>
          <w:rFonts w:ascii="Calibri" w:cs="Calibri" w:eastAsia="Calibri" w:hAnsi="Calibri"/>
          <w:color w:val="2D2D2D"/>
          <w:sz w:val="22"/>
          <w:szCs w:val="22"/>
        </w:rPr>
        <w:t xml:space="preserve">An automation engineer uses a code assistant in a repository that contains configuration files with production credentials or API keys.</w:t>
      </w:r>
    </w:p>
    <w:p>
      <w:pPr>
        <w:pStyle w:val="ListParagraph"/>
        <w:numPr>
          <w:ilvl w:val="0"/>
          <w:numId w:val="2"/>
        </w:numPr>
        <w:spacing w:after="80" w:line="300"/>
      </w:pPr>
      <w:r>
        <w:rPr>
          <w:rFonts w:ascii="Calibri" w:cs="Calibri" w:eastAsia="Calibri" w:hAnsi="Calibri"/>
          <w:color w:val="2D2D2D"/>
          <w:sz w:val="22"/>
          <w:szCs w:val="22"/>
        </w:rPr>
        <w:t xml:space="preserve">A test lead uploads a client requirements document to an AI tool to generate test scenarios, not considering that the document is classified as confidential.</w:t>
      </w:r>
    </w:p>
    <w:p>
      <w:pPr>
        <w:pStyle w:val="ListParagraph"/>
        <w:numPr>
          <w:ilvl w:val="0"/>
          <w:numId w:val="2"/>
        </w:numPr>
        <w:spacing w:after="80" w:line="300"/>
      </w:pPr>
      <w:r>
        <w:rPr>
          <w:rFonts w:ascii="Calibri" w:cs="Calibri" w:eastAsia="Calibri" w:hAnsi="Calibri"/>
          <w:color w:val="2D2D2D"/>
          <w:sz w:val="22"/>
          <w:szCs w:val="22"/>
        </w:rPr>
        <w:t xml:space="preserve">Someone uses a free-tier AI tool on a personal account for a task related to a client engagement.</w:t>
      </w:r>
    </w:p>
    <w:p>
      <w:pPr>
        <w:pStyle w:val="Heading3"/>
        <w:spacing w:before="240" w:after="120"/>
      </w:pPr>
      <w:r>
        <w:rPr>
          <w:rFonts w:ascii="Georgia" w:cs="Georgia" w:eastAsia="Georgia" w:hAnsi="Georgia"/>
          <w:b/>
          <w:bCs/>
          <w:color w:val="1B2A4A"/>
          <w:sz w:val="23"/>
          <w:szCs w:val="23"/>
        </w:rPr>
        <w:t xml:space="preserve">Controls We Need to Establish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226"/>
        <w:gridCol w:w="1800"/>
      </w:tblGrid>
      <w:tr>
        <w:trPr>
          <w:tblHeader/>
        </w:trPr>
        <w:tc>
          <w:tcPr>
            <w:tcW w:type="dxa" w:w="2000"/>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Control</w:t>
            </w:r>
          </w:p>
        </w:tc>
        <w:tc>
          <w:tcPr>
            <w:tcW w:type="dxa" w:w="5226"/>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Description</w:t>
            </w:r>
          </w:p>
        </w:tc>
        <w:tc>
          <w:tcPr>
            <w:tcW w:type="dxa" w:w="1800"/>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Priority</w:t>
            </w:r>
          </w:p>
        </w:tc>
      </w:tr>
      <w:tr>
        <w:tc>
          <w:tcPr>
            <w:tcW w:type="dxa" w:w="20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Approved Tools Register</w:t>
            </w:r>
          </w:p>
        </w:tc>
        <w:tc>
          <w:tcPr>
            <w:tcW w:type="dxa" w:w="5226"/>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A maintained list of AI tools approved for use, specifying which client data classification levels each tool is authorised for. No tool is used on client work until it is on this register.</w:t>
            </w:r>
          </w:p>
        </w:tc>
        <w:tc>
          <w:tcPr>
            <w:tcW w:type="dxa" w:w="18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Immediate</w:t>
            </w:r>
          </w:p>
        </w:tc>
      </w:tr>
      <w:tr>
        <w:tc>
          <w:tcPr>
            <w:tcW w:type="dxa" w:w="20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Data Awareness Training</w:t>
            </w:r>
          </w:p>
        </w:tc>
        <w:tc>
          <w:tcPr>
            <w:tcW w:type="dxa" w:w="5226"/>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All team members must be able to identify PII, credentials, classified information, and client-confidential material before interacting with any AI tool.</w:t>
            </w:r>
          </w:p>
        </w:tc>
        <w:tc>
          <w:tcPr>
            <w:tcW w:type="dxa" w:w="18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Immediate</w:t>
            </w:r>
          </w:p>
        </w:tc>
      </w:tr>
      <w:tr>
        <w:tc>
          <w:tcPr>
            <w:tcW w:type="dxa" w:w="20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Secrets Scanning</w:t>
            </w:r>
          </w:p>
        </w:tc>
        <w:tc>
          <w:tcPr>
            <w:tcW w:type="dxa" w:w="5226"/>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Pre-commit hooks and CI pipeline checks that scan for credentials, tokens, and PII patterns before code reaches AI-connected environments.</w:t>
            </w:r>
          </w:p>
        </w:tc>
        <w:tc>
          <w:tcPr>
            <w:tcW w:type="dxa" w:w="18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Short-term</w:t>
            </w:r>
          </w:p>
        </w:tc>
      </w:tr>
      <w:tr>
        <w:tc>
          <w:tcPr>
            <w:tcW w:type="dxa" w:w="20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Synthetic Data Capability</w:t>
            </w:r>
          </w:p>
        </w:tc>
        <w:tc>
          <w:tcPr>
            <w:tcW w:type="dxa" w:w="5226"/>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Build the ability to generate realistic but entirely artificial test data, so that teams never need to use real client data in any workflow that touches AI tools.</w:t>
            </w:r>
          </w:p>
        </w:tc>
        <w:tc>
          <w:tcPr>
            <w:tcW w:type="dxa" w:w="18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Medium-term</w:t>
            </w:r>
          </w:p>
        </w:tc>
      </w:tr>
      <w:tr>
        <w:tc>
          <w:tcPr>
            <w:tcW w:type="dxa" w:w="20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Data Loss Prevention</w:t>
            </w:r>
          </w:p>
        </w:tc>
        <w:tc>
          <w:tcPr>
            <w:tcW w:type="dxa" w:w="5226"/>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Network-level controls that detect and prevent sensitive data being transmitted to unapproved external endpoints.</w:t>
            </w:r>
          </w:p>
        </w:tc>
        <w:tc>
          <w:tcPr>
            <w:tcW w:type="dxa" w:w="18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Medium-term</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9D1" w:sz="1"/>
              <w:left w:val="single" w:color="B83227" w:sz="10"/>
              <w:bottom w:val="single" w:color="BFC9D1" w:sz="1"/>
              <w:right w:val="single" w:color="BFC9D1" w:sz="1"/>
            </w:tcBorders>
            <w:shd w:fill="FEF0EF" w:val="clear"/>
            <w:tcMar>
              <w:top w:type="dxa" w:w="100"/>
              <w:left w:type="dxa" w:w="180"/>
              <w:bottom w:type="dxa" w:w="100"/>
              <w:right w:type="dxa" w:w="180"/>
            </w:tcMar>
          </w:tcPr>
          <w:p>
            <w:pPr>
              <w:spacing w:after="50"/>
            </w:pPr>
            <w:r>
              <w:rPr>
                <w:rFonts w:ascii="Calibri" w:cs="Calibri" w:eastAsia="Calibri" w:hAnsi="Calibri"/>
                <w:b/>
                <w:bCs/>
                <w:color w:val="B83227"/>
                <w:sz w:val="21"/>
                <w:szCs w:val="21"/>
              </w:rPr>
              <w:t xml:space="preserve">Regulatory Reality</w:t>
            </w:r>
          </w:p>
          <w:p>
            <w:pPr>
              <w:spacing w:after="0" w:line="280"/>
            </w:pPr>
            <w:r>
              <w:rPr>
                <w:rFonts w:ascii="Calibri" w:cs="Calibri" w:eastAsia="Calibri" w:hAnsi="Calibri"/>
                <w:color w:val="2D2D2D"/>
                <w:sz w:val="20"/>
                <w:szCs w:val="20"/>
              </w:rPr>
              <w:t xml:space="preserve">A data leakage incident through an AI tool is treated identically to any other data breach under UK GDPR and the Data Protection Act 2018. There is no special exemption for AI-related disclosures. The same notification obligations, fines, and reputational consequences apply. For government clients, the implications can extend to suspension from approved supplier frameworks.</w:t>
            </w:r>
          </w:p>
        </w:tc>
      </w:tr>
    </w:tbl>
    <w:p>
      <w:pPr>
        <w:spacing w:after="100"/>
      </w:pPr>
    </w:p>
    <w:p>
      <w:pPr>
        <w:pStyle w:val="Heading2"/>
        <w:spacing w:before="360" w:after="160"/>
      </w:pPr>
      <w:r>
        <w:rPr>
          <w:rFonts w:ascii="Georgia" w:cs="Georgia" w:eastAsia="Georgia" w:hAnsi="Georgia"/>
          <w:b/>
          <w:bCs/>
          <w:color w:val="2E75B6"/>
          <w:sz w:val="27"/>
          <w:szCs w:val="27"/>
        </w:rPr>
        <w:t xml:space="preserve">3.2 Prompt Injection and Manipulation</w:t>
      </w:r>
    </w:p>
    <w:p>
      <w:pPr>
        <w:spacing w:after="160" w:line="300"/>
      </w:pPr>
      <w:r>
        <w:rPr>
          <w:rFonts w:ascii="Calibri" w:cs="Calibri" w:eastAsia="Calibri" w:hAnsi="Calibri"/>
          <w:color w:val="2D2D2D"/>
          <w:sz w:val="22"/>
          <w:szCs w:val="22"/>
        </w:rPr>
        <w:t xml:space="preserve">As client applications begin to include AI-powered features — chatbots, virtual assistants, content generators — our teams will need to test these features for prompt injection vulnerabilities. Prompt injection is where a user crafts input that causes the AI to override its instructions, reveal internal information, or behave in ways the developer did not intend.</w:t>
      </w:r>
    </w:p>
    <w:p>
      <w:pPr>
        <w:pStyle w:val="Heading3"/>
        <w:spacing w:before="240" w:after="120"/>
      </w:pPr>
      <w:r>
        <w:rPr>
          <w:rFonts w:ascii="Georgia" w:cs="Georgia" w:eastAsia="Georgia" w:hAnsi="Georgia"/>
          <w:b/>
          <w:bCs/>
          <w:color w:val="1B2A4A"/>
          <w:sz w:val="23"/>
          <w:szCs w:val="23"/>
        </w:rPr>
        <w:t xml:space="preserve">What Our Teams Will Need to Test For</w:t>
      </w:r>
    </w:p>
    <w:p>
      <w:pPr>
        <w:pStyle w:val="ListParagraph"/>
        <w:numPr>
          <w:ilvl w:val="0"/>
          <w:numId w:val="2"/>
        </w:numPr>
        <w:spacing w:after="80" w:line="300"/>
      </w:pPr>
      <w:r>
        <w:rPr>
          <w:rFonts w:ascii="Calibri" w:cs="Calibri" w:eastAsia="Calibri" w:hAnsi="Calibri"/>
          <w:b/>
          <w:bCs/>
          <w:color w:val="2D2D2D"/>
          <w:sz w:val="22"/>
          <w:szCs w:val="22"/>
        </w:rPr>
        <w:t xml:space="preserve">Instruction override: </w:t>
      </w:r>
      <w:r>
        <w:rPr>
          <w:rFonts w:ascii="Calibri" w:cs="Calibri" w:eastAsia="Calibri" w:hAnsi="Calibri"/>
          <w:color w:val="2D2D2D"/>
          <w:sz w:val="22"/>
          <w:szCs w:val="22"/>
        </w:rPr>
        <w:t xml:space="preserve">Input that attempts to replace the AI’s system instructions with attacker-defined instructions.</w:t>
      </w:r>
    </w:p>
    <w:p>
      <w:pPr>
        <w:pStyle w:val="ListParagraph"/>
        <w:numPr>
          <w:ilvl w:val="0"/>
          <w:numId w:val="2"/>
        </w:numPr>
        <w:spacing w:after="80" w:line="300"/>
      </w:pPr>
      <w:r>
        <w:rPr>
          <w:rFonts w:ascii="Calibri" w:cs="Calibri" w:eastAsia="Calibri" w:hAnsi="Calibri"/>
          <w:b/>
          <w:bCs/>
          <w:color w:val="2D2D2D"/>
          <w:sz w:val="22"/>
          <w:szCs w:val="22"/>
        </w:rPr>
        <w:t xml:space="preserve">Role manipulation: </w:t>
      </w:r>
      <w:r>
        <w:rPr>
          <w:rFonts w:ascii="Calibri" w:cs="Calibri" w:eastAsia="Calibri" w:hAnsi="Calibri"/>
          <w:color w:val="2D2D2D"/>
          <w:sz w:val="22"/>
          <w:szCs w:val="22"/>
        </w:rPr>
        <w:t xml:space="preserve">Input that attempts to change the AI’s operating context, such as claiming developer mode is enabled.</w:t>
      </w:r>
    </w:p>
    <w:p>
      <w:pPr>
        <w:pStyle w:val="ListParagraph"/>
        <w:numPr>
          <w:ilvl w:val="0"/>
          <w:numId w:val="2"/>
        </w:numPr>
        <w:spacing w:after="80" w:line="300"/>
      </w:pPr>
      <w:r>
        <w:rPr>
          <w:rFonts w:ascii="Calibri" w:cs="Calibri" w:eastAsia="Calibri" w:hAnsi="Calibri"/>
          <w:b/>
          <w:bCs/>
          <w:color w:val="2D2D2D"/>
          <w:sz w:val="22"/>
          <w:szCs w:val="22"/>
        </w:rPr>
        <w:t xml:space="preserve">System prompt extraction: </w:t>
      </w:r>
      <w:r>
        <w:rPr>
          <w:rFonts w:ascii="Calibri" w:cs="Calibri" w:eastAsia="Calibri" w:hAnsi="Calibri"/>
          <w:color w:val="2D2D2D"/>
          <w:sz w:val="22"/>
          <w:szCs w:val="22"/>
        </w:rPr>
        <w:t xml:space="preserve">Input designed to cause the AI to reveal its internal configuration, including API endpoints, business logic, or access patterns.</w:t>
      </w:r>
    </w:p>
    <w:p>
      <w:pPr>
        <w:pStyle w:val="ListParagraph"/>
        <w:numPr>
          <w:ilvl w:val="0"/>
          <w:numId w:val="2"/>
        </w:numPr>
        <w:spacing w:after="80" w:line="300"/>
      </w:pPr>
      <w:r>
        <w:rPr>
          <w:rFonts w:ascii="Calibri" w:cs="Calibri" w:eastAsia="Calibri" w:hAnsi="Calibri"/>
          <w:b/>
          <w:bCs/>
          <w:color w:val="2D2D2D"/>
          <w:sz w:val="22"/>
          <w:szCs w:val="22"/>
        </w:rPr>
        <w:t xml:space="preserve">Indirect injection: </w:t>
      </w:r>
      <w:r>
        <w:rPr>
          <w:rFonts w:ascii="Calibri" w:cs="Calibri" w:eastAsia="Calibri" w:hAnsi="Calibri"/>
          <w:color w:val="2D2D2D"/>
          <w:sz w:val="22"/>
          <w:szCs w:val="22"/>
        </w:rPr>
        <w:t xml:space="preserve">Malicious instructions embedded in documents, emails, or web content that the AI processes as part of its normal workflow.</w:t>
      </w:r>
    </w:p>
    <w:p>
      <w:pPr>
        <w:pStyle w:val="ListParagraph"/>
        <w:numPr>
          <w:ilvl w:val="0"/>
          <w:numId w:val="2"/>
        </w:numPr>
        <w:spacing w:after="80" w:line="300"/>
      </w:pPr>
      <w:r>
        <w:rPr>
          <w:rFonts w:ascii="Calibri" w:cs="Calibri" w:eastAsia="Calibri" w:hAnsi="Calibri"/>
          <w:b/>
          <w:bCs/>
          <w:color w:val="2D2D2D"/>
          <w:sz w:val="22"/>
          <w:szCs w:val="22"/>
        </w:rPr>
        <w:t xml:space="preserve">Output manipulation: </w:t>
      </w:r>
      <w:r>
        <w:rPr>
          <w:rFonts w:ascii="Calibri" w:cs="Calibri" w:eastAsia="Calibri" w:hAnsi="Calibri"/>
          <w:color w:val="2D2D2D"/>
          <w:sz w:val="22"/>
          <w:szCs w:val="22"/>
        </w:rPr>
        <w:t xml:space="preserve">Input that causes the AI to return data it should not have access to, bypass content filters, or produce harmful content.</w:t>
      </w:r>
    </w:p>
    <w:p>
      <w:pPr>
        <w:pStyle w:val="Heading3"/>
        <w:spacing w:before="240" w:after="120"/>
      </w:pPr>
      <w:r>
        <w:rPr>
          <w:rFonts w:ascii="Georgia" w:cs="Georgia" w:eastAsia="Georgia" w:hAnsi="Georgia"/>
          <w:b/>
          <w:bCs/>
          <w:color w:val="1B2A4A"/>
          <w:sz w:val="23"/>
          <w:szCs w:val="23"/>
        </w:rPr>
        <w:t xml:space="preserve">How to Prepare</w:t>
      </w:r>
    </w:p>
    <w:p>
      <w:pPr>
        <w:pStyle w:val="ListParagraph"/>
        <w:numPr>
          <w:ilvl w:val="0"/>
          <w:numId w:val="2"/>
        </w:numPr>
        <w:spacing w:after="80" w:line="300"/>
      </w:pPr>
      <w:r>
        <w:rPr>
          <w:rFonts w:ascii="Calibri" w:cs="Calibri" w:eastAsia="Calibri" w:hAnsi="Calibri"/>
          <w:color w:val="2D2D2D"/>
          <w:sz w:val="22"/>
          <w:szCs w:val="22"/>
        </w:rPr>
        <w:t xml:space="preserve">Begin building a library of prompt injection test patterns now, so that it is ready when client AI features enter testing.</w:t>
      </w:r>
    </w:p>
    <w:p>
      <w:pPr>
        <w:pStyle w:val="ListParagraph"/>
        <w:numPr>
          <w:ilvl w:val="0"/>
          <w:numId w:val="2"/>
        </w:numPr>
        <w:spacing w:after="80" w:line="300"/>
      </w:pPr>
      <w:r>
        <w:rPr>
          <w:rFonts w:ascii="Calibri" w:cs="Calibri" w:eastAsia="Calibri" w:hAnsi="Calibri"/>
          <w:color w:val="2D2D2D"/>
          <w:sz w:val="22"/>
          <w:szCs w:val="22"/>
        </w:rPr>
        <w:t xml:space="preserve">Include prompt injection as a standard item in test strategy templates for any engagement involving AI features.</w:t>
      </w:r>
    </w:p>
    <w:p>
      <w:pPr>
        <w:pStyle w:val="ListParagraph"/>
        <w:numPr>
          <w:ilvl w:val="0"/>
          <w:numId w:val="2"/>
        </w:numPr>
        <w:spacing w:after="80" w:line="300"/>
      </w:pPr>
      <w:r>
        <w:rPr>
          <w:rFonts w:ascii="Calibri" w:cs="Calibri" w:eastAsia="Calibri" w:hAnsi="Calibri"/>
          <w:color w:val="2D2D2D"/>
          <w:sz w:val="22"/>
          <w:szCs w:val="22"/>
        </w:rPr>
        <w:t xml:space="preserve">Ensure that security testing of AI features is not limited to functional testers — it requires a security testing mindset.</w:t>
      </w:r>
    </w:p>
    <w:p>
      <w:pPr>
        <w:pStyle w:val="Heading2"/>
        <w:spacing w:before="360" w:after="160"/>
      </w:pPr>
      <w:r>
        <w:rPr>
          <w:rFonts w:ascii="Georgia" w:cs="Georgia" w:eastAsia="Georgia" w:hAnsi="Georgia"/>
          <w:b/>
          <w:bCs/>
          <w:color w:val="2E75B6"/>
          <w:sz w:val="27"/>
          <w:szCs w:val="27"/>
        </w:rPr>
        <w:t xml:space="preserve">3.3 Supply Chain Risks</w:t>
      </w:r>
    </w:p>
    <w:p>
      <w:pPr>
        <w:spacing w:after="160" w:line="300"/>
      </w:pPr>
      <w:r>
        <w:rPr>
          <w:rFonts w:ascii="Calibri" w:cs="Calibri" w:eastAsia="Calibri" w:hAnsi="Calibri"/>
          <w:color w:val="2D2D2D"/>
          <w:sz w:val="22"/>
          <w:szCs w:val="22"/>
        </w:rPr>
        <w:t xml:space="preserve">As AI code assistants become part of our workflow, they will suggest software dependencies. These suggestions are drawn from training data, not from live package registries, which creates three specific risks:</w:t>
      </w:r>
    </w:p>
    <w:p>
      <w:pPr>
        <w:pStyle w:val="ListParagraph"/>
        <w:numPr>
          <w:ilvl w:val="0"/>
          <w:numId w:val="2"/>
        </w:numPr>
        <w:spacing w:after="80" w:line="300"/>
      </w:pPr>
      <w:r>
        <w:rPr>
          <w:rFonts w:ascii="Calibri" w:cs="Calibri" w:eastAsia="Calibri" w:hAnsi="Calibri"/>
          <w:b/>
          <w:bCs/>
          <w:color w:val="2D2D2D"/>
          <w:sz w:val="22"/>
          <w:szCs w:val="22"/>
        </w:rPr>
        <w:t xml:space="preserve">Hallucinated packages: </w:t>
      </w:r>
      <w:r>
        <w:rPr>
          <w:rFonts w:ascii="Calibri" w:cs="Calibri" w:eastAsia="Calibri" w:hAnsi="Calibri"/>
          <w:color w:val="2D2D2D"/>
          <w:sz w:val="22"/>
          <w:szCs w:val="22"/>
        </w:rPr>
        <w:t xml:space="preserve">The AI suggests a package name that does not exist. Attackers can anticipate commonly hallucinated names and register them, so that installation pulls malicious code into our client’s project.</w:t>
      </w:r>
    </w:p>
    <w:p>
      <w:pPr>
        <w:pStyle w:val="ListParagraph"/>
        <w:numPr>
          <w:ilvl w:val="0"/>
          <w:numId w:val="2"/>
        </w:numPr>
        <w:spacing w:after="80" w:line="300"/>
      </w:pPr>
      <w:r>
        <w:rPr>
          <w:rFonts w:ascii="Calibri" w:cs="Calibri" w:eastAsia="Calibri" w:hAnsi="Calibri"/>
          <w:b/>
          <w:bCs/>
          <w:color w:val="2D2D2D"/>
          <w:sz w:val="22"/>
          <w:szCs w:val="22"/>
        </w:rPr>
        <w:t xml:space="preserve">Outdated versions: </w:t>
      </w:r>
      <w:r>
        <w:rPr>
          <w:rFonts w:ascii="Calibri" w:cs="Calibri" w:eastAsia="Calibri" w:hAnsi="Calibri"/>
          <w:color w:val="2D2D2D"/>
          <w:sz w:val="22"/>
          <w:szCs w:val="22"/>
        </w:rPr>
        <w:t xml:space="preserve">AI training data is fixed at a point in time. Suggested versions may contain known security vulnerabilities that have since been patched.</w:t>
      </w:r>
    </w:p>
    <w:p>
      <w:pPr>
        <w:pStyle w:val="ListParagraph"/>
        <w:numPr>
          <w:ilvl w:val="0"/>
          <w:numId w:val="2"/>
        </w:numPr>
        <w:spacing w:after="80" w:line="300"/>
      </w:pPr>
      <w:r>
        <w:rPr>
          <w:rFonts w:ascii="Calibri" w:cs="Calibri" w:eastAsia="Calibri" w:hAnsi="Calibri"/>
          <w:b/>
          <w:bCs/>
          <w:color w:val="2D2D2D"/>
          <w:sz w:val="22"/>
          <w:szCs w:val="22"/>
        </w:rPr>
        <w:t xml:space="preserve">Typosquatting: </w:t>
      </w:r>
      <w:r>
        <w:rPr>
          <w:rFonts w:ascii="Calibri" w:cs="Calibri" w:eastAsia="Calibri" w:hAnsi="Calibri"/>
          <w:color w:val="2D2D2D"/>
          <w:sz w:val="22"/>
          <w:szCs w:val="22"/>
        </w:rPr>
        <w:t xml:space="preserve">AI-generated code may reference slightly misspelled package names that have been registered by attackers as traps.</w:t>
      </w:r>
    </w:p>
    <w:p>
      <w:pPr>
        <w:pStyle w:val="Heading3"/>
        <w:spacing w:before="240" w:after="120"/>
      </w:pPr>
      <w:r>
        <w:rPr>
          <w:rFonts w:ascii="Georgia" w:cs="Georgia" w:eastAsia="Georgia" w:hAnsi="Georgia"/>
          <w:b/>
          <w:bCs/>
          <w:color w:val="1B2A4A"/>
          <w:sz w:val="23"/>
          <w:szCs w:val="23"/>
        </w:rPr>
        <w:t xml:space="preserve">Controls</w:t>
      </w:r>
    </w:p>
    <w:p>
      <w:pPr>
        <w:pStyle w:val="ListParagraph"/>
        <w:numPr>
          <w:ilvl w:val="0"/>
          <w:numId w:val="2"/>
        </w:numPr>
        <w:spacing w:after="80" w:line="300"/>
      </w:pPr>
      <w:r>
        <w:rPr>
          <w:rFonts w:ascii="Calibri" w:cs="Calibri" w:eastAsia="Calibri" w:hAnsi="Calibri"/>
          <w:color w:val="2D2D2D"/>
          <w:sz w:val="22"/>
          <w:szCs w:val="22"/>
        </w:rPr>
        <w:t xml:space="preserve">Every AI-suggested dependency must be verified against the official package registry before installation.</w:t>
      </w:r>
    </w:p>
    <w:p>
      <w:pPr>
        <w:pStyle w:val="ListParagraph"/>
        <w:numPr>
          <w:ilvl w:val="0"/>
          <w:numId w:val="2"/>
        </w:numPr>
        <w:spacing w:after="80" w:line="300"/>
      </w:pPr>
      <w:r>
        <w:rPr>
          <w:rFonts w:ascii="Calibri" w:cs="Calibri" w:eastAsia="Calibri" w:hAnsi="Calibri"/>
          <w:color w:val="2D2D2D"/>
          <w:sz w:val="22"/>
          <w:szCs w:val="22"/>
        </w:rPr>
        <w:t xml:space="preserve">Dependency scanning tools (Snyk, Dependabot, Socket) should be standard in CI/CD pipelines.</w:t>
      </w:r>
    </w:p>
    <w:p>
      <w:pPr>
        <w:pStyle w:val="ListParagraph"/>
        <w:numPr>
          <w:ilvl w:val="0"/>
          <w:numId w:val="2"/>
        </w:numPr>
        <w:spacing w:after="80" w:line="300"/>
      </w:pPr>
      <w:r>
        <w:rPr>
          <w:rFonts w:ascii="Calibri" w:cs="Calibri" w:eastAsia="Calibri" w:hAnsi="Calibri"/>
          <w:color w:val="2D2D2D"/>
          <w:sz w:val="22"/>
          <w:szCs w:val="22"/>
        </w:rPr>
        <w:t xml:space="preserve">For government and high-security client projects, maintain an approved package list.</w:t>
      </w:r>
    </w:p>
    <w:p>
      <w:pPr>
        <w:pStyle w:val="Heading2"/>
        <w:spacing w:before="360" w:after="160"/>
      </w:pPr>
      <w:r>
        <w:rPr>
          <w:rFonts w:ascii="Georgia" w:cs="Georgia" w:eastAsia="Georgia" w:hAnsi="Georgia"/>
          <w:b/>
          <w:bCs/>
          <w:color w:val="2E75B6"/>
          <w:sz w:val="27"/>
          <w:szCs w:val="27"/>
        </w:rPr>
        <w:t xml:space="preserve">3.4 Over-Reliance on AI-Generated Test Code</w:t>
      </w:r>
    </w:p>
    <w:p>
      <w:pPr>
        <w:spacing w:after="160" w:line="300"/>
      </w:pPr>
      <w:r>
        <w:rPr>
          <w:rFonts w:ascii="Calibri" w:cs="Calibri" w:eastAsia="Calibri" w:hAnsi="Calibri"/>
          <w:color w:val="2D2D2D"/>
          <w:sz w:val="22"/>
          <w:szCs w:val="22"/>
        </w:rPr>
        <w:t xml:space="preserve">As AI tools become more capable, there will be a natural temptation to accept AI-generated test code without sufficient scrutiny. This risk will grow as teams become more comfortable with the tools and as deadline pressure encourages rapid adoption of AI-generated outputs.</w:t>
      </w:r>
    </w:p>
    <w:p>
      <w:pPr>
        <w:pStyle w:val="Heading3"/>
        <w:spacing w:before="240" w:after="120"/>
      </w:pPr>
      <w:r>
        <w:rPr>
          <w:rFonts w:ascii="Georgia" w:cs="Georgia" w:eastAsia="Georgia" w:hAnsi="Georgia"/>
          <w:b/>
          <w:bCs/>
          <w:color w:val="1B2A4A"/>
          <w:sz w:val="23"/>
          <w:szCs w:val="23"/>
        </w:rPr>
        <w:t xml:space="preserve">Signs to Watch For</w:t>
      </w:r>
    </w:p>
    <w:p>
      <w:pPr>
        <w:pStyle w:val="ListParagraph"/>
        <w:numPr>
          <w:ilvl w:val="0"/>
          <w:numId w:val="2"/>
        </w:numPr>
        <w:spacing w:after="80" w:line="300"/>
      </w:pPr>
      <w:r>
        <w:rPr>
          <w:rFonts w:ascii="Calibri" w:cs="Calibri" w:eastAsia="Calibri" w:hAnsi="Calibri"/>
          <w:color w:val="2D2D2D"/>
          <w:sz w:val="22"/>
          <w:szCs w:val="22"/>
        </w:rPr>
        <w:t xml:space="preserve">Team members cannot explain what an AI-generated test does without reading it line by line.</w:t>
      </w:r>
    </w:p>
    <w:p>
      <w:pPr>
        <w:pStyle w:val="ListParagraph"/>
        <w:numPr>
          <w:ilvl w:val="0"/>
          <w:numId w:val="2"/>
        </w:numPr>
        <w:spacing w:after="80" w:line="300"/>
      </w:pPr>
      <w:r>
        <w:rPr>
          <w:rFonts w:ascii="Calibri" w:cs="Calibri" w:eastAsia="Calibri" w:hAnsi="Calibri"/>
          <w:color w:val="2D2D2D"/>
          <w:sz w:val="22"/>
          <w:szCs w:val="22"/>
        </w:rPr>
        <w:t xml:space="preserve">AI-generated tests consistently pass, but production defects are not being caught.</w:t>
      </w:r>
    </w:p>
    <w:p>
      <w:pPr>
        <w:pStyle w:val="ListParagraph"/>
        <w:numPr>
          <w:ilvl w:val="0"/>
          <w:numId w:val="2"/>
        </w:numPr>
        <w:spacing w:after="80" w:line="300"/>
      </w:pPr>
      <w:r>
        <w:rPr>
          <w:rFonts w:ascii="Calibri" w:cs="Calibri" w:eastAsia="Calibri" w:hAnsi="Calibri"/>
          <w:color w:val="2D2D2D"/>
          <w:sz w:val="22"/>
          <w:szCs w:val="22"/>
        </w:rPr>
        <w:t xml:space="preserve">Junior team members have not developed the ability to write tests independently.</w:t>
      </w:r>
    </w:p>
    <w:p>
      <w:pPr>
        <w:pStyle w:val="Heading3"/>
        <w:spacing w:before="240" w:after="120"/>
      </w:pPr>
      <w:r>
        <w:rPr>
          <w:rFonts w:ascii="Georgia" w:cs="Georgia" w:eastAsia="Georgia" w:hAnsi="Georgia"/>
          <w:b/>
          <w:bCs/>
          <w:color w:val="1B2A4A"/>
          <w:sz w:val="23"/>
          <w:szCs w:val="23"/>
        </w:rPr>
        <w:t xml:space="preserve">Controls</w:t>
      </w:r>
    </w:p>
    <w:p>
      <w:pPr>
        <w:pStyle w:val="ListParagraph"/>
        <w:numPr>
          <w:ilvl w:val="0"/>
          <w:numId w:val="2"/>
        </w:numPr>
        <w:spacing w:after="80" w:line="300"/>
      </w:pPr>
      <w:r>
        <w:rPr>
          <w:rFonts w:ascii="Calibri" w:cs="Calibri" w:eastAsia="Calibri" w:hAnsi="Calibri"/>
          <w:b/>
          <w:bCs/>
          <w:color w:val="2D2D2D"/>
          <w:sz w:val="22"/>
          <w:szCs w:val="22"/>
        </w:rPr>
        <w:t xml:space="preserve">Mandatory review: </w:t>
      </w:r>
      <w:r>
        <w:rPr>
          <w:rFonts w:ascii="Calibri" w:cs="Calibri" w:eastAsia="Calibri" w:hAnsi="Calibri"/>
          <w:color w:val="2D2D2D"/>
          <w:sz w:val="22"/>
          <w:szCs w:val="22"/>
        </w:rPr>
        <w:t xml:space="preserve">All AI-generated test code must be reviewed by a team member who can explain the test’s purpose, assertions, and expected failure conditions.</w:t>
      </w:r>
    </w:p>
    <w:p>
      <w:pPr>
        <w:pStyle w:val="ListParagraph"/>
        <w:numPr>
          <w:ilvl w:val="0"/>
          <w:numId w:val="2"/>
        </w:numPr>
        <w:spacing w:after="80" w:line="300"/>
      </w:pPr>
      <w:r>
        <w:rPr>
          <w:rFonts w:ascii="Calibri" w:cs="Calibri" w:eastAsia="Calibri" w:hAnsi="Calibri"/>
          <w:b/>
          <w:bCs/>
          <w:color w:val="2D2D2D"/>
          <w:sz w:val="22"/>
          <w:szCs w:val="22"/>
        </w:rPr>
        <w:t xml:space="preserve">Mutation testing: </w:t>
      </w:r>
      <w:r>
        <w:rPr>
          <w:rFonts w:ascii="Calibri" w:cs="Calibri" w:eastAsia="Calibri" w:hAnsi="Calibri"/>
          <w:color w:val="2D2D2D"/>
          <w:sz w:val="22"/>
          <w:szCs w:val="22"/>
        </w:rPr>
        <w:t xml:space="preserve">Use mutation testing to verify that tests actually detect defects. If the code under test is deliberately altered and the tests still pass, those tests are not providing value.</w:t>
      </w:r>
    </w:p>
    <w:p>
      <w:pPr>
        <w:pStyle w:val="ListParagraph"/>
        <w:numPr>
          <w:ilvl w:val="0"/>
          <w:numId w:val="2"/>
        </w:numPr>
        <w:spacing w:after="80" w:line="300"/>
      </w:pPr>
      <w:r>
        <w:rPr>
          <w:rFonts w:ascii="Calibri" w:cs="Calibri" w:eastAsia="Calibri" w:hAnsi="Calibri"/>
          <w:b/>
          <w:bCs/>
          <w:color w:val="2D2D2D"/>
          <w:sz w:val="22"/>
          <w:szCs w:val="22"/>
        </w:rPr>
        <w:t xml:space="preserve">Skills maintenance: </w:t>
      </w:r>
      <w:r>
        <w:rPr>
          <w:rFonts w:ascii="Calibri" w:cs="Calibri" w:eastAsia="Calibri" w:hAnsi="Calibri"/>
          <w:color w:val="2D2D2D"/>
          <w:sz w:val="22"/>
          <w:szCs w:val="22"/>
        </w:rPr>
        <w:t xml:space="preserve">Require periodic test writing exercises without AI assistance, so that foundational skills are maintained across the team.</w:t>
      </w:r>
    </w:p>
    <w:p>
      <w:r>
        <w:br w:type="page"/>
      </w:r>
    </w:p>
    <w:p>
      <w:pPr>
        <w:pStyle w:val="Heading1"/>
        <w:spacing w:before="480" w:after="200"/>
      </w:pPr>
      <w:r>
        <w:rPr>
          <w:rFonts w:ascii="Georgia" w:cs="Georgia" w:eastAsia="Georgia" w:hAnsi="Georgia"/>
          <w:b/>
          <w:bCs/>
          <w:color w:val="1B2A4A"/>
          <w:sz w:val="34"/>
          <w:szCs w:val="34"/>
        </w:rPr>
        <w:t xml:space="preserve">4. AI-Generated Test Data: Risks and Safe Practices</w:t>
      </w:r>
    </w:p>
    <w:p>
      <w:pPr>
        <w:spacing w:after="160" w:line="300"/>
      </w:pPr>
      <w:r>
        <w:rPr>
          <w:rFonts w:ascii="Calibri" w:cs="Calibri" w:eastAsia="Calibri" w:hAnsi="Calibri"/>
          <w:color w:val="2D2D2D"/>
          <w:sz w:val="22"/>
          <w:szCs w:val="22"/>
        </w:rPr>
        <w:t xml:space="preserve">As our test data generation practices evolve, AI tools will offer a faster way to create realistic test data. However, AI-generated test data carries risks that differ from traditional data generation methods, and these risks are easy to underestimate.</w:t>
      </w:r>
    </w:p>
    <w:p>
      <w:pPr>
        <w:pStyle w:val="Heading2"/>
        <w:spacing w:before="360" w:after="160"/>
      </w:pPr>
      <w:r>
        <w:rPr>
          <w:rFonts w:ascii="Georgia" w:cs="Georgia" w:eastAsia="Georgia" w:hAnsi="Georgia"/>
          <w:b/>
          <w:bCs/>
          <w:color w:val="2E75B6"/>
          <w:sz w:val="27"/>
          <w:szCs w:val="27"/>
        </w:rPr>
        <w:t xml:space="preserve">4.1 Risks We Need to Understand</w:t>
      </w:r>
    </w:p>
    <w:p>
      <w:pPr>
        <w:pStyle w:val="Heading3"/>
        <w:spacing w:before="240" w:after="120"/>
      </w:pPr>
      <w:r>
        <w:rPr>
          <w:rFonts w:ascii="Georgia" w:cs="Georgia" w:eastAsia="Georgia" w:hAnsi="Georgia"/>
          <w:b/>
          <w:bCs/>
          <w:color w:val="1B2A4A"/>
          <w:sz w:val="23"/>
          <w:szCs w:val="23"/>
        </w:rPr>
        <w:t xml:space="preserve">Accidental PII Generation</w:t>
      </w:r>
    </w:p>
    <w:p>
      <w:pPr>
        <w:spacing w:after="160" w:line="300"/>
      </w:pPr>
      <w:r>
        <w:rPr>
          <w:rFonts w:ascii="Calibri" w:cs="Calibri" w:eastAsia="Calibri" w:hAnsi="Calibri"/>
          <w:color w:val="2D2D2D"/>
          <w:sz w:val="22"/>
          <w:szCs w:val="22"/>
        </w:rPr>
        <w:t xml:space="preserve">Large language models generate data by predicting statistically likely sequences. This means they can produce name, address, and date-of-birth combinations that coincidentally match real individuals. When this happens, the generated data is not truly synthetic — it contains fragments of real personal information reassembled from the model’s training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9D1" w:sz="1"/>
              <w:left w:val="single" w:color="B83227" w:sz="10"/>
              <w:bottom w:val="single" w:color="BFC9D1" w:sz="1"/>
              <w:right w:val="single" w:color="BFC9D1" w:sz="1"/>
            </w:tcBorders>
            <w:shd w:fill="FEF0EF" w:val="clear"/>
            <w:tcMar>
              <w:top w:type="dxa" w:w="100"/>
              <w:left w:type="dxa" w:w="180"/>
              <w:bottom w:type="dxa" w:w="100"/>
              <w:right w:type="dxa" w:w="180"/>
            </w:tcMar>
          </w:tcPr>
          <w:p>
            <w:pPr>
              <w:spacing w:after="50"/>
            </w:pPr>
            <w:r>
              <w:rPr>
                <w:rFonts w:ascii="Calibri" w:cs="Calibri" w:eastAsia="Calibri" w:hAnsi="Calibri"/>
                <w:b/>
                <w:bCs/>
                <w:color w:val="B83227"/>
                <w:sz w:val="21"/>
                <w:szCs w:val="21"/>
              </w:rPr>
              <w:t xml:space="preserve">Regulatory Implication</w:t>
            </w:r>
          </w:p>
          <w:p>
            <w:pPr>
              <w:spacing w:after="0" w:line="280"/>
            </w:pPr>
            <w:r>
              <w:rPr>
                <w:rFonts w:ascii="Calibri" w:cs="Calibri" w:eastAsia="Calibri" w:hAnsi="Calibri"/>
                <w:color w:val="2D2D2D"/>
                <w:sz w:val="20"/>
                <w:szCs w:val="20"/>
              </w:rPr>
              <w:t xml:space="preserve">Under UK GDPR, if AI-generated test data accidentally identifies a real person, it is classified as personal data regardless of how it was created. The same processing obligations, breach notification requirements, and data subject rights apply as if the data had been copied directly from a production database. For government clients, this could trigger information assurance incident reporting.</w:t>
            </w:r>
          </w:p>
        </w:tc>
      </w:tr>
    </w:tbl>
    <w:p>
      <w:pPr>
        <w:spacing w:after="100"/>
      </w:pPr>
    </w:p>
    <w:p>
      <w:pPr>
        <w:pStyle w:val="Heading3"/>
        <w:spacing w:before="240" w:after="120"/>
      </w:pPr>
      <w:r>
        <w:rPr>
          <w:rFonts w:ascii="Georgia" w:cs="Georgia" w:eastAsia="Georgia" w:hAnsi="Georgia"/>
          <w:b/>
          <w:bCs/>
          <w:color w:val="1B2A4A"/>
          <w:sz w:val="23"/>
          <w:szCs w:val="23"/>
        </w:rPr>
        <w:t xml:space="preserve">Plausible but Invalid Data</w:t>
      </w:r>
    </w:p>
    <w:p>
      <w:pPr>
        <w:spacing w:after="160" w:line="300"/>
      </w:pPr>
      <w:r>
        <w:rPr>
          <w:rFonts w:ascii="Calibri" w:cs="Calibri" w:eastAsia="Calibri" w:hAnsi="Calibri"/>
          <w:color w:val="2D2D2D"/>
          <w:sz w:val="22"/>
          <w:szCs w:val="22"/>
        </w:rPr>
        <w:t xml:space="preserve">AI generates data that looks correct but may violate domain rules. A UK postcode may not match its paired city. A sort code may not belong to the associated bank. A National Insurance number may fail its checksum. This type of data creates false confidence: format-level validation passes, but substantive business logic is not properly exercised.</w:t>
      </w:r>
    </w:p>
    <w:p>
      <w:pPr>
        <w:pStyle w:val="Heading3"/>
        <w:spacing w:before="240" w:after="120"/>
      </w:pPr>
      <w:r>
        <w:rPr>
          <w:rFonts w:ascii="Georgia" w:cs="Georgia" w:eastAsia="Georgia" w:hAnsi="Georgia"/>
          <w:b/>
          <w:bCs/>
          <w:color w:val="1B2A4A"/>
          <w:sz w:val="23"/>
          <w:szCs w:val="23"/>
        </w:rPr>
        <w:t xml:space="preserve">Training Data Leakage</w:t>
      </w:r>
    </w:p>
    <w:p>
      <w:pPr>
        <w:spacing w:after="160" w:line="300"/>
      </w:pPr>
      <w:r>
        <w:rPr>
          <w:rFonts w:ascii="Calibri" w:cs="Calibri" w:eastAsia="Calibri" w:hAnsi="Calibri"/>
          <w:color w:val="2D2D2D"/>
          <w:sz w:val="22"/>
          <w:szCs w:val="22"/>
        </w:rPr>
        <w:t xml:space="preserve">When production data is provided to an AI tool as context for generating similar data, the model may incorporate patterns or exact values from the examples. The resulting dataset is not independent of the production data — it is derived from it, with corresponding confidentiality and regulatory implications for the client.</w:t>
      </w:r>
    </w:p>
    <w:p>
      <w:pPr>
        <w:pStyle w:val="Heading3"/>
        <w:spacing w:before="240" w:after="120"/>
      </w:pPr>
      <w:r>
        <w:rPr>
          <w:rFonts w:ascii="Georgia" w:cs="Georgia" w:eastAsia="Georgia" w:hAnsi="Georgia"/>
          <w:b/>
          <w:bCs/>
          <w:color w:val="1B2A4A"/>
          <w:sz w:val="23"/>
          <w:szCs w:val="23"/>
        </w:rPr>
        <w:t xml:space="preserve">Bias in Generated Data</w:t>
      </w:r>
    </w:p>
    <w:p>
      <w:pPr>
        <w:spacing w:after="160" w:line="300"/>
      </w:pPr>
      <w:r>
        <w:rPr>
          <w:rFonts w:ascii="Calibri" w:cs="Calibri" w:eastAsia="Calibri" w:hAnsi="Calibri"/>
          <w:color w:val="2D2D2D"/>
          <w:sz w:val="22"/>
          <w:szCs w:val="22"/>
        </w:rPr>
        <w:t xml:space="preserve">AI models reflect biases in their training data. Generated test data may over-represent certain demographics and under-represent others. If we test client applications with biased data, we are testing with an incomplete picture of how the application will behave for all users.</w:t>
      </w:r>
    </w:p>
    <w:p>
      <w:pPr>
        <w:pStyle w:val="Heading2"/>
        <w:spacing w:before="360" w:after="160"/>
      </w:pPr>
      <w:r>
        <w:rPr>
          <w:rFonts w:ascii="Georgia" w:cs="Georgia" w:eastAsia="Georgia" w:hAnsi="Georgia"/>
          <w:b/>
          <w:bCs/>
          <w:color w:val="2E75B6"/>
          <w:sz w:val="27"/>
          <w:szCs w:val="27"/>
        </w:rPr>
        <w:t xml:space="preserve">4.2 Safe Practices for Our Teams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13"/>
        <w:gridCol w:w="4013"/>
      </w:tblGrid>
      <w:tr>
        <w:trPr>
          <w:tblHeader/>
        </w:trPr>
        <w:tc>
          <w:tcPr>
            <w:tcW w:type="dxa" w:w="2000"/>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Practice</w:t>
            </w:r>
          </w:p>
        </w:tc>
        <w:tc>
          <w:tcPr>
            <w:tcW w:type="dxa" w:w="3013"/>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Why It Matters</w:t>
            </w:r>
          </w:p>
        </w:tc>
        <w:tc>
          <w:tcPr>
            <w:tcW w:type="dxa" w:w="4013"/>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How to Implement</w:t>
            </w:r>
          </w:p>
        </w:tc>
      </w:tr>
      <w:tr>
        <w:tc>
          <w:tcPr>
            <w:tcW w:type="dxa" w:w="20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Use schemas as input, not production data</w:t>
            </w:r>
          </w:p>
        </w:tc>
        <w:tc>
          <w:tcPr>
            <w:tcW w:type="dxa" w:w="30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Prevents training data leakage and keeps client production data out of AI tools entirely</w:t>
            </w:r>
          </w:p>
        </w:tc>
        <w:tc>
          <w:tcPr>
            <w:tcW w:type="dxa" w:w="40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Create data dictionaries from client specifications. Share only field names, types, constraints, and relationships with the AI tool.</w:t>
            </w:r>
          </w:p>
        </w:tc>
      </w:tr>
      <w:tr>
        <w:tc>
          <w:tcPr>
            <w:tcW w:type="dxa" w:w="20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Scan generated data for PII</w:t>
            </w:r>
          </w:p>
        </w:tc>
        <w:tc>
          <w:tcPr>
            <w:tcW w:type="dxa" w:w="30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Catches accidental real-person matches before data enters the test environment</w:t>
            </w:r>
          </w:p>
        </w:tc>
        <w:tc>
          <w:tcPr>
            <w:tcW w:type="dxa" w:w="40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Run PII detection tools on every AI-generated dataset before use. Tools include Microsoft Presidio, AWS Macie, or custom regex libraries.</w:t>
            </w:r>
          </w:p>
        </w:tc>
      </w:tr>
      <w:tr>
        <w:tc>
          <w:tcPr>
            <w:tcW w:type="dxa" w:w="20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Validate against business rules</w:t>
            </w:r>
          </w:p>
        </w:tc>
        <w:tc>
          <w:tcPr>
            <w:tcW w:type="dxa" w:w="30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Ensures data exercises the application properly, not just the format validation layer</w:t>
            </w:r>
          </w:p>
        </w:tc>
        <w:tc>
          <w:tcPr>
            <w:tcW w:type="dxa" w:w="40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Build domain-specific validators that check referential integrity, checksums, and business logic rules.</w:t>
            </w:r>
          </w:p>
        </w:tc>
      </w:tr>
      <w:tr>
        <w:tc>
          <w:tcPr>
            <w:tcW w:type="dxa" w:w="20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Audit demographic distribution</w:t>
            </w:r>
          </w:p>
        </w:tc>
        <w:tc>
          <w:tcPr>
            <w:tcW w:type="dxa" w:w="30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Prevents biased test data from masking application behaviour for underrepresented groups</w:t>
            </w:r>
          </w:p>
        </w:tc>
        <w:tc>
          <w:tcPr>
            <w:tcW w:type="dxa" w:w="40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Compare distributions in generated data against the expected user population.</w:t>
            </w:r>
          </w:p>
        </w:tc>
      </w:tr>
      <w:tr>
        <w:tc>
          <w:tcPr>
            <w:tcW w:type="dxa" w:w="20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Document the generation process</w:t>
            </w:r>
          </w:p>
        </w:tc>
        <w:tc>
          <w:tcPr>
            <w:tcW w:type="dxa" w:w="30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Creates an audit trail for compliance and reproducibility</w:t>
            </w:r>
          </w:p>
        </w:tc>
        <w:tc>
          <w:tcPr>
            <w:tcW w:type="dxa" w:w="40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Record the tool, model version, prompt used, and date for every generated dataset.</w:t>
            </w:r>
          </w:p>
        </w:tc>
      </w:tr>
      <w:tr>
        <w:tc>
          <w:tcPr>
            <w:tcW w:type="dxa" w:w="20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Default to deterministic generators</w:t>
            </w:r>
          </w:p>
        </w:tc>
        <w:tc>
          <w:tcPr>
            <w:tcW w:type="dxa" w:w="30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Algorithmic generators provide stronger guarantees of data independence than probabilistic AI</w:t>
            </w:r>
          </w:p>
        </w:tc>
        <w:tc>
          <w:tcPr>
            <w:tcW w:type="dxa" w:w="40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Use Faker, Mockaroo, or custom generators as the default. Reserve AI generation for edge cases and creative scenarios.</w:t>
            </w:r>
          </w:p>
        </w:tc>
      </w:tr>
    </w:tbl>
    <w:p>
      <w:pPr>
        <w:spacing w:after="100"/>
      </w:pPr>
    </w:p>
    <w:p>
      <w:r>
        <w:br w:type="page"/>
      </w:r>
    </w:p>
    <w:p>
      <w:pPr>
        <w:pStyle w:val="Heading1"/>
        <w:spacing w:before="480" w:after="200"/>
      </w:pPr>
      <w:r>
        <w:rPr>
          <w:rFonts w:ascii="Georgia" w:cs="Georgia" w:eastAsia="Georgia" w:hAnsi="Georgia"/>
          <w:b/>
          <w:bCs/>
          <w:color w:val="1B2A4A"/>
          <w:sz w:val="34"/>
          <w:szCs w:val="34"/>
        </w:rPr>
        <w:t xml:space="preserve">5. When Not to Use AI in Testing</w:t>
      </w:r>
    </w:p>
    <w:p>
      <w:pPr>
        <w:spacing w:after="160" w:line="300"/>
      </w:pPr>
      <w:r>
        <w:rPr>
          <w:rFonts w:ascii="Calibri" w:cs="Calibri" w:eastAsia="Calibri" w:hAnsi="Calibri"/>
          <w:color w:val="2D2D2D"/>
          <w:sz w:val="22"/>
          <w:szCs w:val="22"/>
        </w:rPr>
        <w:t xml:space="preserve">AI tools will be valuable for many testing activities, but there are situations where using AI will introduce more risk than it removes. As we adopt these tools, we need clear boundaries that protect our clients and our work.</w:t>
      </w:r>
    </w:p>
    <w:p>
      <w:pPr>
        <w:pStyle w:val="Heading2"/>
        <w:spacing w:before="360" w:after="160"/>
      </w:pPr>
      <w:r>
        <w:rPr>
          <w:rFonts w:ascii="Georgia" w:cs="Georgia" w:eastAsia="Georgia" w:hAnsi="Georgia"/>
          <w:b/>
          <w:bCs/>
          <w:color w:val="2E75B6"/>
          <w:sz w:val="27"/>
          <w:szCs w:val="27"/>
        </w:rPr>
        <w:t xml:space="preserve">5.1 Situations Where AI Should Not Be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rPr>
          <w:tblHeader/>
        </w:trPr>
        <w:tc>
          <w:tcPr>
            <w:tcW w:type="dxa" w:w="1800"/>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Situation</w:t>
            </w:r>
          </w:p>
        </w:tc>
        <w:tc>
          <w:tcPr>
            <w:tcW w:type="dxa" w:w="3613"/>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Why AI Is Not Appropriate</w:t>
            </w:r>
          </w:p>
        </w:tc>
        <w:tc>
          <w:tcPr>
            <w:tcW w:type="dxa" w:w="3613"/>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What to Do Instead</w:t>
            </w:r>
          </w:p>
        </w:tc>
      </w:tr>
      <w:tr>
        <w:tc>
          <w:tcPr>
            <w:tcW w:type="dxa" w:w="18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Testing with real client production data</w:t>
            </w:r>
          </w:p>
        </w:tc>
        <w:tc>
          <w:tcPr>
            <w:tcW w:type="dxa" w:w="36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Any workflow that combines AI tools with client production data creates a data transfer to third-party infrastructure. For government clients, this may breach data sovereignty requirements.</w:t>
            </w:r>
          </w:p>
        </w:tc>
        <w:tc>
          <w:tcPr>
            <w:tcW w:type="dxa" w:w="36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Use masked, anonymised, or synthetic data. Production data must be stripped of identifiable and classified information before it enters any AI-connected workflow.</w:t>
            </w:r>
          </w:p>
        </w:tc>
      </w:tr>
      <w:tr>
        <w:tc>
          <w:tcPr>
            <w:tcW w:type="dxa" w:w="18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Security testing of live client systems</w:t>
            </w:r>
          </w:p>
        </w:tc>
        <w:tc>
          <w:tcPr>
            <w:tcW w:type="dxa" w:w="36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AI-generated attack payloads could cause unintended damage to client infrastructure. AI tools cannot assess the impact of the actions they suggest.</w:t>
            </w:r>
          </w:p>
        </w:tc>
        <w:tc>
          <w:tcPr>
            <w:tcW w:type="dxa" w:w="36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Use established security testing tools (Burp Suite, OWASP ZAP) operated by trained professionals. AI can support learning, but should not generate or execute live attack scripts.</w:t>
            </w:r>
          </w:p>
        </w:tc>
      </w:tr>
      <w:tr>
        <w:tc>
          <w:tcPr>
            <w:tcW w:type="dxa" w:w="18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Producing compliance-critical test evidence</w:t>
            </w:r>
          </w:p>
        </w:tc>
        <w:tc>
          <w:tcPr>
            <w:tcW w:type="dxa" w:w="36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Where test results will be submitted as regulatory evidence (government service assessments, PCI, healthcare), AI-generated artefacts cannot demonstrate provenance to the standard that auditors and regulators expect.</w:t>
            </w:r>
          </w:p>
        </w:tc>
        <w:tc>
          <w:tcPr>
            <w:tcW w:type="dxa" w:w="36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Human-authored, human-reviewed, human-verified test artefacts with full traceability.</w:t>
            </w:r>
          </w:p>
        </w:tc>
      </w:tr>
      <w:tr>
        <w:tc>
          <w:tcPr>
            <w:tcW w:type="dxa" w:w="18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Testing AI features for bias using AI tools</w:t>
            </w:r>
          </w:p>
        </w:tc>
        <w:tc>
          <w:tcPr>
            <w:tcW w:type="dxa" w:w="36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Using one AI model to evaluate another for fairness creates a conflict. Both models may share similar training data biases and produce blind spots in the same areas.</w:t>
            </w:r>
          </w:p>
        </w:tc>
        <w:tc>
          <w:tcPr>
            <w:tcW w:type="dxa" w:w="36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Human-designed test cases with diverse input. Statistical analysis tools. Domain experts from affected communities.</w:t>
            </w:r>
          </w:p>
        </w:tc>
      </w:tr>
      <w:tr>
        <w:tc>
          <w:tcPr>
            <w:tcW w:type="dxa" w:w="18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Cryptographic implementation testing</w:t>
            </w:r>
          </w:p>
        </w:tc>
        <w:tc>
          <w:tcPr>
            <w:tcW w:type="dxa" w:w="36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AI frequently produces incorrect cryptographic code and may suggest insecure configurations. Test results based on AI-generated cryptographic tests may be unreliable.</w:t>
            </w:r>
          </w:p>
        </w:tc>
        <w:tc>
          <w:tcPr>
            <w:tcW w:type="dxa" w:w="36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Established cryptographic testing libraries and NIST test vectors. Engage security specialists.</w:t>
            </w:r>
          </w:p>
        </w:tc>
      </w:tr>
      <w:tr>
        <w:tc>
          <w:tcPr>
            <w:tcW w:type="dxa" w:w="18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Exploratory testing of safety-critical features</w:t>
            </w:r>
          </w:p>
        </w:tc>
        <w:tc>
          <w:tcPr>
            <w:tcW w:type="dxa" w:w="36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Features involving financial transactions, citizen services, or medical decisions require human judgement. AI cannot assess whether a test scenario is ethically appropriate or politically sensitive.</w:t>
            </w:r>
          </w:p>
        </w:tc>
        <w:tc>
          <w:tcPr>
            <w:tcW w:type="dxa" w:w="36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Experienced testers with relevant domain knowledge. AI may suggest initial ideas, but humans curate and execute.</w:t>
            </w:r>
          </w:p>
        </w:tc>
      </w:tr>
    </w:tbl>
    <w:p>
      <w:pPr>
        <w:spacing w:after="100"/>
      </w:pPr>
    </w:p>
    <w:p>
      <w:pPr>
        <w:pStyle w:val="Heading2"/>
        <w:spacing w:before="360" w:after="160"/>
      </w:pPr>
      <w:r>
        <w:rPr>
          <w:rFonts w:ascii="Georgia" w:cs="Georgia" w:eastAsia="Georgia" w:hAnsi="Georgia"/>
          <w:b/>
          <w:bCs/>
          <w:color w:val="2E75B6"/>
          <w:sz w:val="27"/>
          <w:szCs w:val="27"/>
        </w:rPr>
        <w:t xml:space="preserve">5.2 Situations Requiring Additional Controls</w:t>
      </w:r>
    </w:p>
    <w:p>
      <w:pPr>
        <w:pStyle w:val="ListParagraph"/>
        <w:numPr>
          <w:ilvl w:val="0"/>
          <w:numId w:val="2"/>
        </w:numPr>
        <w:spacing w:after="80" w:line="300"/>
      </w:pPr>
      <w:r>
        <w:rPr>
          <w:rFonts w:ascii="Calibri" w:cs="Calibri" w:eastAsia="Calibri" w:hAnsi="Calibri"/>
          <w:b/>
          <w:bCs/>
          <w:color w:val="2D2D2D"/>
          <w:sz w:val="22"/>
          <w:szCs w:val="22"/>
        </w:rPr>
        <w:t xml:space="preserve">Performance test script generation: </w:t>
      </w:r>
      <w:r>
        <w:rPr>
          <w:rFonts w:ascii="Calibri" w:cs="Calibri" w:eastAsia="Calibri" w:hAnsi="Calibri"/>
          <w:color w:val="2D2D2D"/>
          <w:sz w:val="22"/>
          <w:szCs w:val="22"/>
        </w:rPr>
        <w:t xml:space="preserve">AI-generated load test scripts often contain unrealistic parameters. A flawed performance test gives the client false confidence about their system’s capacity. All AI-generated performance scripts must be reviewed by someone with performance testing experience.</w:t>
      </w:r>
    </w:p>
    <w:p>
      <w:pPr>
        <w:pStyle w:val="ListParagraph"/>
        <w:numPr>
          <w:ilvl w:val="0"/>
          <w:numId w:val="2"/>
        </w:numPr>
        <w:spacing w:after="80" w:line="300"/>
      </w:pPr>
      <w:r>
        <w:rPr>
          <w:rFonts w:ascii="Calibri" w:cs="Calibri" w:eastAsia="Calibri" w:hAnsi="Calibri"/>
          <w:b/>
          <w:bCs/>
          <w:color w:val="2D2D2D"/>
          <w:sz w:val="22"/>
          <w:szCs w:val="22"/>
        </w:rPr>
        <w:t xml:space="preserve">Database migration testing: </w:t>
      </w:r>
      <w:r>
        <w:rPr>
          <w:rFonts w:ascii="Calibri" w:cs="Calibri" w:eastAsia="Calibri" w:hAnsi="Calibri"/>
          <w:color w:val="2D2D2D"/>
          <w:sz w:val="22"/>
          <w:szCs w:val="22"/>
        </w:rPr>
        <w:t xml:space="preserve">AI-generated SQL for migration validation can introduce silent data issues. Validate against manually prepared reference queries.</w:t>
      </w:r>
    </w:p>
    <w:p>
      <w:pPr>
        <w:pStyle w:val="ListParagraph"/>
        <w:numPr>
          <w:ilvl w:val="0"/>
          <w:numId w:val="2"/>
        </w:numPr>
        <w:spacing w:after="80" w:line="300"/>
      </w:pPr>
      <w:r>
        <w:rPr>
          <w:rFonts w:ascii="Calibri" w:cs="Calibri" w:eastAsia="Calibri" w:hAnsi="Calibri"/>
          <w:b/>
          <w:bCs/>
          <w:color w:val="2D2D2D"/>
          <w:sz w:val="22"/>
          <w:szCs w:val="22"/>
        </w:rPr>
        <w:t xml:space="preserve">Accessibility testing: </w:t>
      </w:r>
      <w:r>
        <w:rPr>
          <w:rFonts w:ascii="Calibri" w:cs="Calibri" w:eastAsia="Calibri" w:hAnsi="Calibri"/>
          <w:color w:val="2D2D2D"/>
          <w:sz w:val="22"/>
          <w:szCs w:val="22"/>
        </w:rPr>
        <w:t xml:space="preserve">AI can identify straightforward WCAG violations but misses contextual issues. It should supplement manual accessibility review, not replace it.</w:t>
      </w:r>
    </w:p>
    <w:p>
      <w:pPr>
        <w:pStyle w:val="ListParagraph"/>
        <w:numPr>
          <w:ilvl w:val="0"/>
          <w:numId w:val="2"/>
        </w:numPr>
        <w:spacing w:after="80" w:line="300"/>
      </w:pPr>
      <w:r>
        <w:rPr>
          <w:rFonts w:ascii="Calibri" w:cs="Calibri" w:eastAsia="Calibri" w:hAnsi="Calibri"/>
          <w:b/>
          <w:bCs/>
          <w:color w:val="2D2D2D"/>
          <w:sz w:val="22"/>
          <w:szCs w:val="22"/>
        </w:rPr>
        <w:t xml:space="preserve">Contract testing between services: </w:t>
      </w:r>
      <w:r>
        <w:rPr>
          <w:rFonts w:ascii="Calibri" w:cs="Calibri" w:eastAsia="Calibri" w:hAnsi="Calibri"/>
          <w:color w:val="2D2D2D"/>
          <w:sz w:val="22"/>
          <w:szCs w:val="22"/>
        </w:rPr>
        <w:t xml:space="preserve">AI-generated consumer contracts may not reflect actual service behaviour. Derive contracts from observed behaviour, not AI prediction.</w:t>
      </w:r>
    </w:p>
    <w:p>
      <w:pPr>
        <w:pStyle w:val="Heading2"/>
        <w:spacing w:before="360" w:after="160"/>
      </w:pPr>
      <w:r>
        <w:rPr>
          <w:rFonts w:ascii="Georgia" w:cs="Georgia" w:eastAsia="Georgia" w:hAnsi="Georgia"/>
          <w:b/>
          <w:bCs/>
          <w:color w:val="2E75B6"/>
          <w:sz w:val="27"/>
          <w:szCs w:val="27"/>
        </w:rPr>
        <w:t xml:space="preserve">5.3 Decision Framework for Our Teams</w:t>
      </w:r>
    </w:p>
    <w:p>
      <w:pPr>
        <w:spacing w:after="160" w:line="300"/>
      </w:pPr>
      <w:r>
        <w:rPr>
          <w:rFonts w:ascii="Calibri" w:cs="Calibri" w:eastAsia="Calibri" w:hAnsi="Calibri"/>
          <w:color w:val="2D2D2D"/>
          <w:sz w:val="22"/>
          <w:szCs w:val="22"/>
        </w:rPr>
        <w:t xml:space="preserve">Before using AI for any testing task on a client engagement, apply these checks:</w:t>
      </w:r>
    </w:p>
    <w:p>
      <w:pPr>
        <w:pStyle w:val="ListParagraph"/>
        <w:numPr>
          <w:ilvl w:val="0"/>
          <w:numId w:val="3"/>
        </w:numPr>
        <w:spacing w:after="80" w:line="300"/>
      </w:pPr>
      <w:r>
        <w:rPr>
          <w:rFonts w:ascii="Calibri" w:cs="Calibri" w:eastAsia="Calibri" w:hAnsi="Calibri"/>
          <w:b/>
          <w:bCs/>
          <w:color w:val="2D2D2D"/>
          <w:sz w:val="22"/>
          <w:szCs w:val="22"/>
        </w:rPr>
        <w:t xml:space="preserve">What client data is involved? </w:t>
      </w:r>
      <w:r>
        <w:rPr>
          <w:rFonts w:ascii="Calibri" w:cs="Calibri" w:eastAsia="Calibri" w:hAnsi="Calibri"/>
          <w:color w:val="2D2D2D"/>
          <w:sz w:val="22"/>
          <w:szCs w:val="22"/>
        </w:rPr>
        <w:t xml:space="preserve">If the data includes PII, credentials, classified material, or client-confidential information, assess whether the data can be fully sanitised before AI involvement.</w:t>
      </w:r>
    </w:p>
    <w:p>
      <w:pPr>
        <w:pStyle w:val="ListParagraph"/>
        <w:numPr>
          <w:ilvl w:val="0"/>
          <w:numId w:val="3"/>
        </w:numPr>
        <w:spacing w:after="80" w:line="300"/>
      </w:pPr>
      <w:r>
        <w:rPr>
          <w:rFonts w:ascii="Calibri" w:cs="Calibri" w:eastAsia="Calibri" w:hAnsi="Calibri"/>
          <w:b/>
          <w:bCs/>
          <w:color w:val="2D2D2D"/>
          <w:sz w:val="22"/>
          <w:szCs w:val="22"/>
        </w:rPr>
        <w:t xml:space="preserve">What is the consequence of an incorrect result? </w:t>
      </w:r>
      <w:r>
        <w:rPr>
          <w:rFonts w:ascii="Calibri" w:cs="Calibri" w:eastAsia="Calibri" w:hAnsi="Calibri"/>
          <w:color w:val="2D2D2D"/>
          <w:sz w:val="22"/>
          <w:szCs w:val="22"/>
        </w:rPr>
        <w:t xml:space="preserve">If an AI error could lead to a security incident, regulatory issue, or production outage for the client, add mandatory human verification.</w:t>
      </w:r>
    </w:p>
    <w:p>
      <w:pPr>
        <w:pStyle w:val="ListParagraph"/>
        <w:numPr>
          <w:ilvl w:val="0"/>
          <w:numId w:val="3"/>
        </w:numPr>
        <w:spacing w:after="80" w:line="300"/>
      </w:pPr>
      <w:r>
        <w:rPr>
          <w:rFonts w:ascii="Calibri" w:cs="Calibri" w:eastAsia="Calibri" w:hAnsi="Calibri"/>
          <w:b/>
          <w:bCs/>
          <w:color w:val="2D2D2D"/>
          <w:sz w:val="22"/>
          <w:szCs w:val="22"/>
        </w:rPr>
        <w:t xml:space="preserve">Does the client’s policy permit AI tool use? </w:t>
      </w:r>
      <w:r>
        <w:rPr>
          <w:rFonts w:ascii="Calibri" w:cs="Calibri" w:eastAsia="Calibri" w:hAnsi="Calibri"/>
          <w:color w:val="2D2D2D"/>
          <w:sz w:val="22"/>
          <w:szCs w:val="22"/>
        </w:rPr>
        <w:t xml:space="preserve">Some clients, particularly in government, may have explicit restrictions on AI tool usage. Verify before proceeding.</w:t>
      </w:r>
    </w:p>
    <w:p>
      <w:pPr>
        <w:pStyle w:val="ListParagraph"/>
        <w:numPr>
          <w:ilvl w:val="0"/>
          <w:numId w:val="3"/>
        </w:numPr>
        <w:spacing w:after="80" w:line="300"/>
      </w:pPr>
      <w:r>
        <w:rPr>
          <w:rFonts w:ascii="Calibri" w:cs="Calibri" w:eastAsia="Calibri" w:hAnsi="Calibri"/>
          <w:b/>
          <w:bCs/>
          <w:color w:val="2D2D2D"/>
          <w:sz w:val="22"/>
          <w:szCs w:val="22"/>
        </w:rPr>
        <w:t xml:space="preserve">Can our team verify the AI’s output? </w:t>
      </w:r>
      <w:r>
        <w:rPr>
          <w:rFonts w:ascii="Calibri" w:cs="Calibri" w:eastAsia="Calibri" w:hAnsi="Calibri"/>
          <w:color w:val="2D2D2D"/>
          <w:sz w:val="22"/>
          <w:szCs w:val="22"/>
        </w:rPr>
        <w:t xml:space="preserve">If no one on the team has the expertise to evaluate whether the AI produced a correct result, the team is not ready to use AI for that task.</w:t>
      </w:r>
    </w:p>
    <w:p>
      <w:pPr>
        <w:pStyle w:val="ListParagraph"/>
        <w:numPr>
          <w:ilvl w:val="0"/>
          <w:numId w:val="3"/>
        </w:numPr>
        <w:spacing w:after="80" w:line="300"/>
      </w:pPr>
      <w:r>
        <w:rPr>
          <w:rFonts w:ascii="Calibri" w:cs="Calibri" w:eastAsia="Calibri" w:hAnsi="Calibri"/>
          <w:b/>
          <w:bCs/>
          <w:color w:val="2D2D2D"/>
          <w:sz w:val="22"/>
          <w:szCs w:val="22"/>
        </w:rPr>
        <w:t xml:space="preserve">Could we explain this to the client’s information assurance team? </w:t>
      </w:r>
      <w:r>
        <w:rPr>
          <w:rFonts w:ascii="Calibri" w:cs="Calibri" w:eastAsia="Calibri" w:hAnsi="Calibri"/>
          <w:color w:val="2D2D2D"/>
          <w:sz w:val="22"/>
          <w:szCs w:val="22"/>
        </w:rPr>
        <w:t xml:space="preserve">If not, reconsider.</w:t>
      </w:r>
    </w:p>
    <w:p>
      <w:r>
        <w:br w:type="page"/>
      </w:r>
    </w:p>
    <w:p>
      <w:pPr>
        <w:pStyle w:val="Heading1"/>
        <w:spacing w:before="480" w:after="200"/>
      </w:pPr>
      <w:r>
        <w:rPr>
          <w:rFonts w:ascii="Georgia" w:cs="Georgia" w:eastAsia="Georgia" w:hAnsi="Georgia"/>
          <w:b/>
          <w:bCs/>
          <w:color w:val="1B2A4A"/>
          <w:sz w:val="34"/>
          <w:szCs w:val="34"/>
        </w:rPr>
        <w:t xml:space="preserve">6. Intellectual Property Risks</w:t>
      </w:r>
    </w:p>
    <w:p>
      <w:pPr>
        <w:spacing w:after="160" w:line="300"/>
      </w:pPr>
      <w:r>
        <w:rPr>
          <w:rFonts w:ascii="Calibri" w:cs="Calibri" w:eastAsia="Calibri" w:hAnsi="Calibri"/>
          <w:color w:val="2D2D2D"/>
          <w:sz w:val="22"/>
          <w:szCs w:val="22"/>
        </w:rPr>
        <w:t xml:space="preserve">Intellectual property risks associated with AI will become increasingly important as our use of AI tools grows. These risks are less visible than data breaches but can cause serious damage to client relationships and our commercial standing.</w:t>
      </w:r>
    </w:p>
    <w:p>
      <w:pPr>
        <w:pStyle w:val="Heading2"/>
        <w:spacing w:before="360" w:after="160"/>
      </w:pPr>
      <w:r>
        <w:rPr>
          <w:rFonts w:ascii="Georgia" w:cs="Georgia" w:eastAsia="Georgia" w:hAnsi="Georgia"/>
          <w:b/>
          <w:bCs/>
          <w:color w:val="2E75B6"/>
          <w:sz w:val="27"/>
          <w:szCs w:val="27"/>
        </w:rPr>
        <w:t xml:space="preserve">6.1 How IP Risk Will Arise in Our Work</w:t>
      </w:r>
    </w:p>
    <w:p>
      <w:pPr>
        <w:spacing w:after="160" w:line="300"/>
      </w:pPr>
      <w:r>
        <w:rPr>
          <w:rFonts w:ascii="Calibri" w:cs="Calibri" w:eastAsia="Calibri" w:hAnsi="Calibri"/>
          <w:color w:val="2D2D2D"/>
          <w:sz w:val="22"/>
          <w:szCs w:val="22"/>
        </w:rPr>
        <w:t xml:space="preserve">When we use AI tools on client engagements, intellectual property can be exposed in three directions: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rPr>
          <w:tblHeader/>
        </w:trPr>
        <w:tc>
          <w:tcPr>
            <w:tcW w:type="dxa" w:w="2000"/>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Direction</w:t>
            </w:r>
          </w:p>
        </w:tc>
        <w:tc>
          <w:tcPr>
            <w:tcW w:type="dxa" w:w="3513"/>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What Happens</w:t>
            </w:r>
          </w:p>
        </w:tc>
        <w:tc>
          <w:tcPr>
            <w:tcW w:type="dxa" w:w="3513"/>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Impact</w:t>
            </w:r>
          </w:p>
        </w:tc>
      </w:tr>
      <w:tr>
        <w:tc>
          <w:tcPr>
            <w:tcW w:type="dxa" w:w="20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Our IP → AI Provider</w:t>
            </w:r>
          </w:p>
        </w:tc>
        <w:tc>
          <w:tcPr>
            <w:tcW w:type="dxa" w:w="35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Our proprietary test frameworks, methodologies, and custom utilities are submitted to AI tools as context.</w:t>
            </w:r>
          </w:p>
        </w:tc>
        <w:tc>
          <w:tcPr>
            <w:tcW w:type="dxa" w:w="35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Our competitive advantage is diluted. Approaches that differentiate us may become available to competitors using the same tools.</w:t>
            </w:r>
          </w:p>
        </w:tc>
      </w:tr>
      <w:tr>
        <w:tc>
          <w:tcPr>
            <w:tcW w:type="dxa" w:w="20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Client IP → AI Provider</w:t>
            </w:r>
          </w:p>
        </w:tc>
        <w:tc>
          <w:tcPr>
            <w:tcW w:type="dxa" w:w="35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Client architecture documents, API specifications, business rules, and proprietary algorithms are shared with AI tools during test planning or generation.</w:t>
            </w:r>
          </w:p>
        </w:tc>
        <w:tc>
          <w:tcPr>
            <w:tcW w:type="dxa" w:w="35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Potential breach of NDA and confidentiality agreements. Client trade secrets leave the agreed trust boundary. For government clients, this may breach Official or Official-Sensitive handling requirements.</w:t>
            </w:r>
          </w:p>
        </w:tc>
      </w:tr>
      <w:tr>
        <w:tc>
          <w:tcPr>
            <w:tcW w:type="dxa" w:w="20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AI Provider → Our Deliverables</w:t>
            </w:r>
          </w:p>
        </w:tc>
        <w:tc>
          <w:tcPr>
            <w:tcW w:type="dxa" w:w="35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AI-generated test code or documentation contains fragments from the model’s training data that belong to third parties.</w:t>
            </w:r>
          </w:p>
        </w:tc>
        <w:tc>
          <w:tcPr>
            <w:tcW w:type="dxa" w:w="35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Deliverables may contain code subject to open-source licences (including copyleft licences such as GPL) that conflict with client requirements for proprietary deliverables.</w:t>
            </w:r>
          </w:p>
        </w:tc>
      </w:tr>
    </w:tbl>
    <w:p>
      <w:pPr>
        <w:spacing w:after="100"/>
      </w:pPr>
    </w:p>
    <w:p>
      <w:pPr>
        <w:pStyle w:val="Heading2"/>
        <w:spacing w:before="360" w:after="160"/>
      </w:pPr>
      <w:r>
        <w:rPr>
          <w:rFonts w:ascii="Georgia" w:cs="Georgia" w:eastAsia="Georgia" w:hAnsi="Georgia"/>
          <w:b/>
          <w:bCs/>
          <w:color w:val="2E75B6"/>
          <w:sz w:val="27"/>
          <w:szCs w:val="27"/>
        </w:rPr>
        <w:t xml:space="preserve">6.2 Ownership Questions We Need to Resolve</w:t>
      </w:r>
    </w:p>
    <w:p>
      <w:pPr>
        <w:pStyle w:val="ListParagraph"/>
        <w:numPr>
          <w:ilvl w:val="0"/>
          <w:numId w:val="2"/>
        </w:numPr>
        <w:spacing w:after="80" w:line="300"/>
      </w:pPr>
      <w:r>
        <w:rPr>
          <w:rFonts w:ascii="Calibri" w:cs="Calibri" w:eastAsia="Calibri" w:hAnsi="Calibri"/>
          <w:b/>
          <w:bCs/>
          <w:color w:val="2D2D2D"/>
          <w:sz w:val="22"/>
          <w:szCs w:val="22"/>
        </w:rPr>
        <w:t xml:space="preserve">UK copyright law: </w:t>
      </w:r>
      <w:r>
        <w:rPr>
          <w:rFonts w:ascii="Calibri" w:cs="Calibri" w:eastAsia="Calibri" w:hAnsi="Calibri"/>
          <w:color w:val="2D2D2D"/>
          <w:sz w:val="22"/>
          <w:szCs w:val="22"/>
        </w:rPr>
        <w:t xml:space="preserve">The Copyright, Designs and Patents Act 1988 includes provisions for computer-generated works, but how these apply to modern AI outputs is not yet settled in case law.</w:t>
      </w:r>
    </w:p>
    <w:p>
      <w:pPr>
        <w:pStyle w:val="ListParagraph"/>
        <w:numPr>
          <w:ilvl w:val="0"/>
          <w:numId w:val="2"/>
        </w:numPr>
        <w:spacing w:after="80" w:line="300"/>
      </w:pPr>
      <w:r>
        <w:rPr>
          <w:rFonts w:ascii="Calibri" w:cs="Calibri" w:eastAsia="Calibri" w:hAnsi="Calibri"/>
          <w:b/>
          <w:bCs/>
          <w:color w:val="2D2D2D"/>
          <w:sz w:val="22"/>
          <w:szCs w:val="22"/>
        </w:rPr>
        <w:t xml:space="preserve">Client contracts: </w:t>
      </w:r>
      <w:r>
        <w:rPr>
          <w:rFonts w:ascii="Calibri" w:cs="Calibri" w:eastAsia="Calibri" w:hAnsi="Calibri"/>
          <w:color w:val="2D2D2D"/>
          <w:sz w:val="22"/>
          <w:szCs w:val="22"/>
        </w:rPr>
        <w:t xml:space="preserve">Standard IP assignment clauses may not clearly address outputs generated by third-party AI tools. If the AI tool’s terms of service claim rights over outputs, this may conflict with client ownership expectations.</w:t>
      </w:r>
    </w:p>
    <w:p>
      <w:pPr>
        <w:pStyle w:val="ListParagraph"/>
        <w:numPr>
          <w:ilvl w:val="0"/>
          <w:numId w:val="2"/>
        </w:numPr>
        <w:spacing w:after="80" w:line="300"/>
      </w:pPr>
      <w:r>
        <w:rPr>
          <w:rFonts w:ascii="Calibri" w:cs="Calibri" w:eastAsia="Calibri" w:hAnsi="Calibri"/>
          <w:b/>
          <w:bCs/>
          <w:color w:val="2D2D2D"/>
          <w:sz w:val="22"/>
          <w:szCs w:val="22"/>
        </w:rPr>
        <w:t xml:space="preserve">Licence contamination: </w:t>
      </w:r>
      <w:r>
        <w:rPr>
          <w:rFonts w:ascii="Calibri" w:cs="Calibri" w:eastAsia="Calibri" w:hAnsi="Calibri"/>
          <w:color w:val="2D2D2D"/>
          <w:sz w:val="22"/>
          <w:szCs w:val="22"/>
        </w:rPr>
        <w:t xml:space="preserve">AI-generated code that incorporates GPL-licenced fragments may carry copyleft obligations, regardless of the intended licence of the client deliverable.</w:t>
      </w:r>
    </w:p>
    <w:p>
      <w:pPr>
        <w:pStyle w:val="Heading2"/>
        <w:spacing w:before="360" w:after="160"/>
      </w:pPr>
      <w:r>
        <w:rPr>
          <w:rFonts w:ascii="Georgia" w:cs="Georgia" w:eastAsia="Georgia" w:hAnsi="Georgia"/>
          <w:b/>
          <w:bCs/>
          <w:color w:val="2E75B6"/>
          <w:sz w:val="27"/>
          <w:szCs w:val="27"/>
        </w:rPr>
        <w:t xml:space="preserve">6.3 Controls to Put in Place</w:t>
      </w:r>
    </w:p>
    <w:p>
      <w:pPr>
        <w:pStyle w:val="ListParagraph"/>
        <w:numPr>
          <w:ilvl w:val="0"/>
          <w:numId w:val="3"/>
        </w:numPr>
        <w:spacing w:after="80" w:line="300"/>
      </w:pPr>
      <w:r>
        <w:rPr>
          <w:rFonts w:ascii="Calibri" w:cs="Calibri" w:eastAsia="Calibri" w:hAnsi="Calibri"/>
          <w:b/>
          <w:bCs/>
          <w:color w:val="2D2D2D"/>
          <w:sz w:val="22"/>
          <w:szCs w:val="22"/>
        </w:rPr>
        <w:t xml:space="preserve">Review AI tool terms of service: </w:t>
      </w:r>
      <w:r>
        <w:rPr>
          <w:rFonts w:ascii="Calibri" w:cs="Calibri" w:eastAsia="Calibri" w:hAnsi="Calibri"/>
          <w:color w:val="2D2D2D"/>
          <w:sz w:val="22"/>
          <w:szCs w:val="22"/>
        </w:rPr>
        <w:t xml:space="preserve">Before approving any tool, check whether the provider retains rights to inputs or outputs, and whether data may be used for training.</w:t>
      </w:r>
    </w:p>
    <w:p>
      <w:pPr>
        <w:pStyle w:val="ListParagraph"/>
        <w:numPr>
          <w:ilvl w:val="0"/>
          <w:numId w:val="3"/>
        </w:numPr>
        <w:spacing w:after="80" w:line="300"/>
      </w:pPr>
      <w:r>
        <w:rPr>
          <w:rFonts w:ascii="Calibri" w:cs="Calibri" w:eastAsia="Calibri" w:hAnsi="Calibri"/>
          <w:b/>
          <w:bCs/>
          <w:color w:val="2D2D2D"/>
          <w:sz w:val="22"/>
          <w:szCs w:val="22"/>
        </w:rPr>
        <w:t xml:space="preserve">Classify inputs before use: </w:t>
      </w:r>
      <w:r>
        <w:rPr>
          <w:rFonts w:ascii="Calibri" w:cs="Calibri" w:eastAsia="Calibri" w:hAnsi="Calibri"/>
          <w:color w:val="2D2D2D"/>
          <w:sz w:val="22"/>
          <w:szCs w:val="22"/>
        </w:rPr>
        <w:t xml:space="preserve">Categorise all data and artefacts as Public, Internal, or Restricted. Map each category to approved AI tools.</w:t>
      </w:r>
    </w:p>
    <w:p>
      <w:pPr>
        <w:pStyle w:val="ListParagraph"/>
        <w:numPr>
          <w:ilvl w:val="0"/>
          <w:numId w:val="3"/>
        </w:numPr>
        <w:spacing w:after="80" w:line="300"/>
      </w:pPr>
      <w:r>
        <w:rPr>
          <w:rFonts w:ascii="Calibri" w:cs="Calibri" w:eastAsia="Calibri" w:hAnsi="Calibri"/>
          <w:b/>
          <w:bCs/>
          <w:color w:val="2D2D2D"/>
          <w:sz w:val="22"/>
          <w:szCs w:val="22"/>
        </w:rPr>
        <w:t xml:space="preserve">Run licence scanning on AI-generated code: </w:t>
      </w:r>
      <w:r>
        <w:rPr>
          <w:rFonts w:ascii="Calibri" w:cs="Calibri" w:eastAsia="Calibri" w:hAnsi="Calibri"/>
          <w:color w:val="2D2D2D"/>
          <w:sz w:val="22"/>
          <w:szCs w:val="22"/>
        </w:rPr>
        <w:t xml:space="preserve">Use tools such as FOSSA, Black Duck, or Snyk to detect licence conflicts before delivering code to clients.</w:t>
      </w:r>
    </w:p>
    <w:p>
      <w:pPr>
        <w:pStyle w:val="ListParagraph"/>
        <w:numPr>
          <w:ilvl w:val="0"/>
          <w:numId w:val="3"/>
        </w:numPr>
        <w:spacing w:after="80" w:line="300"/>
      </w:pPr>
      <w:r>
        <w:rPr>
          <w:rFonts w:ascii="Calibri" w:cs="Calibri" w:eastAsia="Calibri" w:hAnsi="Calibri"/>
          <w:b/>
          <w:bCs/>
          <w:color w:val="2D2D2D"/>
          <w:sz w:val="22"/>
          <w:szCs w:val="22"/>
        </w:rPr>
        <w:t xml:space="preserve">Include AI clauses in client contracts: </w:t>
      </w:r>
      <w:r>
        <w:rPr>
          <w:rFonts w:ascii="Calibri" w:cs="Calibri" w:eastAsia="Calibri" w:hAnsi="Calibri"/>
          <w:color w:val="2D2D2D"/>
          <w:sz w:val="22"/>
          <w:szCs w:val="22"/>
        </w:rPr>
        <w:t xml:space="preserve">State which AI tools may be used, what data may be processed, who owns AI-generated artefacts, and how licence risks are managed.</w:t>
      </w:r>
    </w:p>
    <w:p>
      <w:pPr>
        <w:pStyle w:val="ListParagraph"/>
        <w:numPr>
          <w:ilvl w:val="0"/>
          <w:numId w:val="3"/>
        </w:numPr>
        <w:spacing w:after="80" w:line="300"/>
      </w:pPr>
      <w:r>
        <w:rPr>
          <w:rFonts w:ascii="Calibri" w:cs="Calibri" w:eastAsia="Calibri" w:hAnsi="Calibri"/>
          <w:b/>
          <w:bCs/>
          <w:color w:val="2D2D2D"/>
          <w:sz w:val="22"/>
          <w:szCs w:val="22"/>
        </w:rPr>
        <w:t xml:space="preserve">Maintain provenance records: </w:t>
      </w:r>
      <w:r>
        <w:rPr>
          <w:rFonts w:ascii="Calibri" w:cs="Calibri" w:eastAsia="Calibri" w:hAnsi="Calibri"/>
          <w:color w:val="2D2D2D"/>
          <w:sz w:val="22"/>
          <w:szCs w:val="22"/>
        </w:rPr>
        <w:t xml:space="preserve">For every deliverable, record what was human-written and what was AI-assisted. This creates a defensible position if IP questions arise.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9D1" w:sz="1"/>
              <w:left w:val="single" w:color="C8940A" w:sz="10"/>
              <w:bottom w:val="single" w:color="BFC9D1" w:sz="1"/>
              <w:right w:val="single" w:color="BFC9D1" w:sz="1"/>
            </w:tcBorders>
            <w:shd w:fill="FDF6E7" w:val="clear"/>
            <w:tcMar>
              <w:top w:type="dxa" w:w="100"/>
              <w:left w:type="dxa" w:w="180"/>
              <w:bottom w:type="dxa" w:w="100"/>
              <w:right w:type="dxa" w:w="180"/>
            </w:tcMar>
          </w:tcPr>
          <w:p>
            <w:pPr>
              <w:spacing w:after="50"/>
            </w:pPr>
            <w:r>
              <w:rPr>
                <w:rFonts w:ascii="Calibri" w:cs="Calibri" w:eastAsia="Calibri" w:hAnsi="Calibri"/>
                <w:b/>
                <w:bCs/>
                <w:color w:val="C8940A"/>
                <w:sz w:val="21"/>
                <w:szCs w:val="21"/>
              </w:rPr>
              <w:t xml:space="preserve">Commercial Opportunity</w:t>
            </w:r>
          </w:p>
          <w:p>
            <w:pPr>
              <w:spacing w:after="0" w:line="280"/>
            </w:pPr>
            <w:r>
              <w:rPr>
                <w:rFonts w:ascii="Calibri" w:cs="Calibri" w:eastAsia="Calibri" w:hAnsi="Calibri"/>
                <w:color w:val="2D2D2D"/>
                <w:sz w:val="20"/>
                <w:szCs w:val="20"/>
              </w:rPr>
              <w:t xml:space="preserve">Clients are beginning to ask how their suppliers use AI. As this becomes a standard question in procurement evaluations, having a documented and transparent IP governance approach will become a competitive differentiator. Building this capability now positions us well for future bids, particularly in the public sector.</w:t>
            </w:r>
          </w:p>
        </w:tc>
      </w:tr>
    </w:tbl>
    <w:p>
      <w:pPr>
        <w:spacing w:after="100"/>
      </w:pPr>
    </w:p>
    <w:p>
      <w:r>
        <w:br w:type="page"/>
      </w:r>
    </w:p>
    <w:p>
      <w:pPr>
        <w:pStyle w:val="Heading1"/>
        <w:spacing w:before="480" w:after="200"/>
      </w:pPr>
      <w:r>
        <w:rPr>
          <w:rFonts w:ascii="Georgia" w:cs="Georgia" w:eastAsia="Georgia" w:hAnsi="Georgia"/>
          <w:b/>
          <w:bCs/>
          <w:color w:val="1B2A4A"/>
          <w:sz w:val="34"/>
          <w:szCs w:val="34"/>
        </w:rPr>
        <w:t xml:space="preserve">7. Data Management and Privacy</w:t>
      </w:r>
    </w:p>
    <w:p>
      <w:pPr>
        <w:pStyle w:val="Heading2"/>
        <w:spacing w:before="360" w:after="160"/>
      </w:pPr>
      <w:r>
        <w:rPr>
          <w:rFonts w:ascii="Georgia" w:cs="Georgia" w:eastAsia="Georgia" w:hAnsi="Georgia"/>
          <w:b/>
          <w:bCs/>
          <w:color w:val="2E75B6"/>
          <w:sz w:val="27"/>
          <w:szCs w:val="27"/>
        </w:rPr>
        <w:t xml:space="preserve">7.1 Data Lifecycle in AI-Assisted Testing</w:t>
      </w:r>
    </w:p>
    <w:p>
      <w:pPr>
        <w:spacing w:after="160" w:line="300"/>
      </w:pPr>
      <w:r>
        <w:rPr>
          <w:rFonts w:ascii="Calibri" w:cs="Calibri" w:eastAsia="Calibri" w:hAnsi="Calibri"/>
          <w:color w:val="2D2D2D"/>
          <w:sz w:val="22"/>
          <w:szCs w:val="22"/>
        </w:rPr>
        <w:t xml:space="preserve">As AI tools enter our testing workflow, every stage of the data lifecycle will need additional controls: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363"/>
        <w:gridCol w:w="4363"/>
      </w:tblGrid>
      <w:tr>
        <w:trPr>
          <w:tblHeader/>
        </w:trPr>
        <w:tc>
          <w:tcPr>
            <w:tcW w:type="dxa" w:w="1300"/>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Stage</w:t>
            </w:r>
          </w:p>
        </w:tc>
        <w:tc>
          <w:tcPr>
            <w:tcW w:type="dxa" w:w="3363"/>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AI-Specific Risk</w:t>
            </w:r>
          </w:p>
        </w:tc>
        <w:tc>
          <w:tcPr>
            <w:tcW w:type="dxa" w:w="4363"/>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Required Control</w:t>
            </w:r>
          </w:p>
        </w:tc>
      </w:tr>
      <w:tr>
        <w:tc>
          <w:tcPr>
            <w:tcW w:type="dxa" w:w="13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Sourcing</w:t>
            </w:r>
          </w:p>
        </w:tc>
        <w:tc>
          <w:tcPr>
            <w:tcW w:type="dxa" w:w="336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Client production data copied as context or examples for AI prompts</w:t>
            </w:r>
          </w:p>
        </w:tc>
        <w:tc>
          <w:tcPr>
            <w:tcW w:type="dxa" w:w="436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No client production data in AI-connected workflows. Mandatory masking pipeline.</w:t>
            </w:r>
          </w:p>
        </w:tc>
      </w:tr>
      <w:tr>
        <w:tc>
          <w:tcPr>
            <w:tcW w:type="dxa" w:w="13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Preparation</w:t>
            </w:r>
          </w:p>
        </w:tc>
        <w:tc>
          <w:tcPr>
            <w:tcW w:type="dxa" w:w="336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Client data pasted into AI tools for formatting or analysis</w:t>
            </w:r>
          </w:p>
        </w:tc>
        <w:tc>
          <w:tcPr>
            <w:tcW w:type="dxa" w:w="436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Only synthetic or anonymised data may be processed by AI tools.</w:t>
            </w:r>
          </w:p>
        </w:tc>
      </w:tr>
      <w:tr>
        <w:tc>
          <w:tcPr>
            <w:tcW w:type="dxa" w:w="13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Transit</w:t>
            </w:r>
          </w:p>
        </w:tc>
        <w:tc>
          <w:tcPr>
            <w:tcW w:type="dxa" w:w="336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Data sent to cloud AI APIs, potentially crossing jurisdictional borders</w:t>
            </w:r>
          </w:p>
        </w:tc>
        <w:tc>
          <w:tcPr>
            <w:tcW w:type="dxa" w:w="436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TLS enforcement. Outbound API call logging. DLP controls. Data residency verification.</w:t>
            </w:r>
          </w:p>
        </w:tc>
      </w:tr>
      <w:tr>
        <w:tc>
          <w:tcPr>
            <w:tcW w:type="dxa" w:w="13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Processing</w:t>
            </w:r>
          </w:p>
        </w:tc>
        <w:tc>
          <w:tcPr>
            <w:tcW w:type="dxa" w:w="336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AI providers may cache or log data on their infrastructure</w:t>
            </w:r>
          </w:p>
        </w:tc>
        <w:tc>
          <w:tcPr>
            <w:tcW w:type="dxa" w:w="436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Review provider retention policies. Prefer zero-retention. Verify residency.</w:t>
            </w:r>
          </w:p>
        </w:tc>
      </w:tr>
      <w:tr>
        <w:tc>
          <w:tcPr>
            <w:tcW w:type="dxa" w:w="13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Storage</w:t>
            </w:r>
          </w:p>
        </w:tc>
        <w:tc>
          <w:tcPr>
            <w:tcW w:type="dxa" w:w="336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AI conversation logs retain copies of submitted data</w:t>
            </w:r>
          </w:p>
        </w:tc>
        <w:tc>
          <w:tcPr>
            <w:tcW w:type="dxa" w:w="436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Auto-delete conversation histories. Include AI tool data in retention policies.</w:t>
            </w:r>
          </w:p>
        </w:tc>
      </w:tr>
      <w:tr>
        <w:tc>
          <w:tcPr>
            <w:tcW w:type="dxa" w:w="13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Disposal</w:t>
            </w:r>
          </w:p>
        </w:tc>
        <w:tc>
          <w:tcPr>
            <w:tcW w:type="dxa" w:w="336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AI tool session data not included in project closure procedures</w:t>
            </w:r>
          </w:p>
        </w:tc>
        <w:tc>
          <w:tcPr>
            <w:tcW w:type="dxa" w:w="436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AI tool data purge included in project closure checklists.</w:t>
            </w:r>
          </w:p>
        </w:tc>
      </w:tr>
    </w:tbl>
    <w:p>
      <w:pPr>
        <w:spacing w:after="100"/>
      </w:pPr>
    </w:p>
    <w:p>
      <w:pPr>
        <w:pStyle w:val="Heading2"/>
        <w:spacing w:before="360" w:after="160"/>
      </w:pPr>
      <w:r>
        <w:rPr>
          <w:rFonts w:ascii="Georgia" w:cs="Georgia" w:eastAsia="Georgia" w:hAnsi="Georgia"/>
          <w:b/>
          <w:bCs/>
          <w:color w:val="2E75B6"/>
          <w:sz w:val="27"/>
          <w:szCs w:val="27"/>
        </w:rPr>
        <w:t xml:space="preserve">7.2 Synthetic Data Strategy</w:t>
      </w:r>
    </w:p>
    <w:p>
      <w:pPr>
        <w:spacing w:after="160" w:line="300"/>
      </w:pPr>
      <w:r>
        <w:rPr>
          <w:rFonts w:ascii="Calibri" w:cs="Calibri" w:eastAsia="Calibri" w:hAnsi="Calibri"/>
          <w:color w:val="2D2D2D"/>
          <w:sz w:val="22"/>
          <w:szCs w:val="22"/>
        </w:rPr>
        <w:t xml:space="preserve">The most effective way to protect client data is to ensure it never enters an AI-connected workflow. This requires a tiered approach to test data:</w:t>
      </w:r>
    </w:p>
    <w:p>
      <w:pPr>
        <w:pStyle w:val="Heading3"/>
        <w:spacing w:before="240" w:after="120"/>
      </w:pPr>
      <w:r>
        <w:rPr>
          <w:rFonts w:ascii="Georgia" w:cs="Georgia" w:eastAsia="Georgia" w:hAnsi="Georgia"/>
          <w:b/>
          <w:bCs/>
          <w:color w:val="1B2A4A"/>
          <w:sz w:val="23"/>
          <w:szCs w:val="23"/>
        </w:rPr>
        <w:t xml:space="preserve">Tier 1: Deterministic Generators (Default)</w:t>
      </w:r>
    </w:p>
    <w:p>
      <w:pPr>
        <w:spacing w:after="160" w:line="300"/>
      </w:pPr>
      <w:r>
        <w:rPr>
          <w:rFonts w:ascii="Calibri" w:cs="Calibri" w:eastAsia="Calibri" w:hAnsi="Calibri"/>
          <w:color w:val="2D2D2D"/>
          <w:sz w:val="22"/>
          <w:szCs w:val="22"/>
        </w:rPr>
        <w:t xml:space="preserve">Tools such as Faker, Mockaroo, or custom generators produce algorithmically generated data with no AI involvement. Fully reproducible. No leakage risk. This should be the default for structured test data on all engagements.</w:t>
      </w:r>
    </w:p>
    <w:p>
      <w:pPr>
        <w:pStyle w:val="Heading3"/>
        <w:spacing w:before="240" w:after="120"/>
      </w:pPr>
      <w:r>
        <w:rPr>
          <w:rFonts w:ascii="Georgia" w:cs="Georgia" w:eastAsia="Georgia" w:hAnsi="Georgia"/>
          <w:b/>
          <w:bCs/>
          <w:color w:val="1B2A4A"/>
          <w:sz w:val="23"/>
          <w:szCs w:val="23"/>
        </w:rPr>
        <w:t xml:space="preserve">Tier 2: AI-Augmented Generation (With Controls)</w:t>
      </w:r>
    </w:p>
    <w:p>
      <w:pPr>
        <w:spacing w:after="160" w:line="300"/>
      </w:pPr>
      <w:r>
        <w:rPr>
          <w:rFonts w:ascii="Calibri" w:cs="Calibri" w:eastAsia="Calibri" w:hAnsi="Calibri"/>
          <w:color w:val="2D2D2D"/>
          <w:sz w:val="22"/>
          <w:szCs w:val="22"/>
        </w:rPr>
        <w:t xml:space="preserve">AI is useful for generating edge cases and unusual data patterns. When used, provide only schemas and constraints as input — never production data or examples derived from production.</w:t>
      </w:r>
    </w:p>
    <w:p>
      <w:pPr>
        <w:pStyle w:val="Heading3"/>
        <w:spacing w:before="240" w:after="120"/>
      </w:pPr>
      <w:r>
        <w:rPr>
          <w:rFonts w:ascii="Georgia" w:cs="Georgia" w:eastAsia="Georgia" w:hAnsi="Georgia"/>
          <w:b/>
          <w:bCs/>
          <w:color w:val="1B2A4A"/>
          <w:sz w:val="23"/>
          <w:szCs w:val="23"/>
        </w:rPr>
        <w:t xml:space="preserve">Tier 3: Production-Derived Data (Last Resort, Maximum Controls)</w:t>
      </w:r>
    </w:p>
    <w:p>
      <w:pPr>
        <w:spacing w:after="160" w:line="300"/>
      </w:pPr>
      <w:r>
        <w:rPr>
          <w:rFonts w:ascii="Calibri" w:cs="Calibri" w:eastAsia="Calibri" w:hAnsi="Calibri"/>
          <w:color w:val="2D2D2D"/>
          <w:sz w:val="22"/>
          <w:szCs w:val="22"/>
        </w:rPr>
        <w:t xml:space="preserve">Where production-like characteristics are genuinely required, apply irreversible masking and formal verification that the dataset cannot be re-identified. Masked production data must never be processed through AI tools.</w:t>
      </w:r>
    </w:p>
    <w:p>
      <w:pPr>
        <w:pStyle w:val="Heading2"/>
        <w:spacing w:before="360" w:after="160"/>
      </w:pPr>
      <w:r>
        <w:rPr>
          <w:rFonts w:ascii="Georgia" w:cs="Georgia" w:eastAsia="Georgia" w:hAnsi="Georgia"/>
          <w:b/>
          <w:bCs/>
          <w:color w:val="2E75B6"/>
          <w:sz w:val="27"/>
          <w:szCs w:val="27"/>
        </w:rPr>
        <w:t xml:space="preserve">7.3 Regulatory Requirements Relevant to Our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13"/>
        <w:gridCol w:w="4413"/>
      </w:tblGrid>
      <w:tr>
        <w:trPr>
          <w:tblHeader/>
        </w:trPr>
        <w:tc>
          <w:tcPr>
            <w:tcW w:type="dxa" w:w="1800"/>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Regulation</w:t>
            </w:r>
          </w:p>
        </w:tc>
        <w:tc>
          <w:tcPr>
            <w:tcW w:type="dxa" w:w="2813"/>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Key Obligation</w:t>
            </w:r>
          </w:p>
        </w:tc>
        <w:tc>
          <w:tcPr>
            <w:tcW w:type="dxa" w:w="4413"/>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Relevance to AI in Our Testing Work</w:t>
            </w:r>
          </w:p>
        </w:tc>
      </w:tr>
      <w:tr>
        <w:tc>
          <w:tcPr>
            <w:tcW w:type="dxa" w:w="18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UK GDPR / DPA 2018</w:t>
            </w:r>
          </w:p>
        </w:tc>
        <w:tc>
          <w:tcPr>
            <w:tcW w:type="dxa" w:w="28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Lawful basis for processing. Data minimisation. Right to erasure.</w:t>
            </w:r>
          </w:p>
        </w:tc>
        <w:tc>
          <w:tcPr>
            <w:tcW w:type="dxa" w:w="44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Sending client data to an AI tool is a processing activity. Data processing agreements must cover AI tool providers.</w:t>
            </w:r>
          </w:p>
        </w:tc>
      </w:tr>
      <w:tr>
        <w:tc>
          <w:tcPr>
            <w:tcW w:type="dxa" w:w="18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Government Security Classifications</w:t>
            </w:r>
          </w:p>
        </w:tc>
        <w:tc>
          <w:tcPr>
            <w:tcW w:type="dxa" w:w="28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Official, Official-Sensitive, Secret handling requirements.</w:t>
            </w:r>
          </w:p>
        </w:tc>
        <w:tc>
          <w:tcPr>
            <w:tcW w:type="dxa" w:w="44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AI tools that process data externally are unlikely to meet handling requirements for Official-Sensitive or above. Verify classification before AI use.</w:t>
            </w:r>
          </w:p>
        </w:tc>
      </w:tr>
      <w:tr>
        <w:tc>
          <w:tcPr>
            <w:tcW w:type="dxa" w:w="18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HIPAA (if serving US healthcare clients)</w:t>
            </w:r>
          </w:p>
        </w:tc>
        <w:tc>
          <w:tcPr>
            <w:tcW w:type="dxa" w:w="28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Protected health information must be safeguarded. BAA required.</w:t>
            </w:r>
          </w:p>
        </w:tc>
        <w:tc>
          <w:tcPr>
            <w:tcW w:type="dxa" w:w="44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No healthcare data should be processed by AI tools without a BAA in place with the AI provider.</w:t>
            </w:r>
          </w:p>
        </w:tc>
      </w:tr>
      <w:tr>
        <w:tc>
          <w:tcPr>
            <w:tcW w:type="dxa" w:w="18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PCI DSS (if serving payment clients)</w:t>
            </w:r>
          </w:p>
        </w:tc>
        <w:tc>
          <w:tcPr>
            <w:tcW w:type="dxa" w:w="28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Cardholder data must be encrypted and access-controlled.</w:t>
            </w:r>
          </w:p>
        </w:tc>
        <w:tc>
          <w:tcPr>
            <w:tcW w:type="dxa" w:w="44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Payment card data must never be transmitted to AI tools. Use standard test card numbers only.</w:t>
            </w:r>
          </w:p>
        </w:tc>
      </w:tr>
      <w:tr>
        <w:tc>
          <w:tcPr>
            <w:tcW w:type="dxa" w:w="18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EU AI Act</w:t>
            </w:r>
          </w:p>
        </w:tc>
        <w:tc>
          <w:tcPr>
            <w:tcW w:type="dxa" w:w="28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Risk-based regulation of AI systems.</w:t>
            </w:r>
          </w:p>
        </w:tc>
        <w:tc>
          <w:tcPr>
            <w:tcW w:type="dxa" w:w="44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When testing AI features in client applications, the testing approach must align with the risk classification of the AI system.</w:t>
            </w:r>
          </w:p>
        </w:tc>
      </w:tr>
    </w:tbl>
    <w:p>
      <w:pPr>
        <w:spacing w:after="100"/>
      </w:pPr>
    </w:p>
    <w:p>
      <w:r>
        <w:br w:type="page"/>
      </w:r>
    </w:p>
    <w:p>
      <w:pPr>
        <w:pStyle w:val="Heading1"/>
        <w:spacing w:before="480" w:after="200"/>
      </w:pPr>
      <w:r>
        <w:rPr>
          <w:rFonts w:ascii="Georgia" w:cs="Georgia" w:eastAsia="Georgia" w:hAnsi="Georgia"/>
          <w:b/>
          <w:bCs/>
          <w:color w:val="1B2A4A"/>
          <w:sz w:val="34"/>
          <w:szCs w:val="34"/>
        </w:rPr>
        <w:t xml:space="preserve">8. Model Bias and Ethical Risks</w:t>
      </w:r>
    </w:p>
    <w:p>
      <w:pPr>
        <w:spacing w:after="160" w:line="300"/>
      </w:pPr>
      <w:r>
        <w:rPr>
          <w:rFonts w:ascii="Calibri" w:cs="Calibri" w:eastAsia="Calibri" w:hAnsi="Calibri"/>
          <w:color w:val="2D2D2D"/>
          <w:sz w:val="22"/>
          <w:szCs w:val="22"/>
        </w:rPr>
        <w:t xml:space="preserve">As client applications increasingly include AI-powered decision-making features, our teams will need to test for bias and ethical risks. This is particularly important for government clients, where AI-driven decisions may affect citizens’ access to services, benefits, or rights.</w:t>
      </w:r>
    </w:p>
    <w:p>
      <w:pPr>
        <w:pStyle w:val="Heading2"/>
        <w:spacing w:before="360" w:after="160"/>
      </w:pPr>
      <w:r>
        <w:rPr>
          <w:rFonts w:ascii="Georgia" w:cs="Georgia" w:eastAsia="Georgia" w:hAnsi="Georgia"/>
          <w:b/>
          <w:bCs/>
          <w:color w:val="2E75B6"/>
          <w:sz w:val="27"/>
          <w:szCs w:val="27"/>
        </w:rPr>
        <w:t xml:space="preserve">8.1 Types of Bias We Will Need to Test For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113"/>
        <w:gridCol w:w="4113"/>
      </w:tblGrid>
      <w:tr>
        <w:trPr>
          <w:tblHeader/>
        </w:trPr>
        <w:tc>
          <w:tcPr>
            <w:tcW w:type="dxa" w:w="1800"/>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Bias Type</w:t>
            </w:r>
          </w:p>
        </w:tc>
        <w:tc>
          <w:tcPr>
            <w:tcW w:type="dxa" w:w="3113"/>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Description</w:t>
            </w:r>
          </w:p>
        </w:tc>
        <w:tc>
          <w:tcPr>
            <w:tcW w:type="dxa" w:w="4113"/>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Testing Approach</w:t>
            </w:r>
          </w:p>
        </w:tc>
      </w:tr>
      <w:tr>
        <w:tc>
          <w:tcPr>
            <w:tcW w:type="dxa" w:w="18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Selection Bias</w:t>
            </w:r>
          </w:p>
        </w:tc>
        <w:tc>
          <w:tcPr>
            <w:tcW w:type="dxa" w:w="31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The AI was trained on data that does not represent the full user population</w:t>
            </w:r>
          </w:p>
        </w:tc>
        <w:tc>
          <w:tcPr>
            <w:tcW w:type="dxa" w:w="41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Test with inputs covering diverse demographic profiles. Compare outcomes across groups with equivalent characteristics.</w:t>
            </w:r>
          </w:p>
        </w:tc>
      </w:tr>
      <w:tr>
        <w:tc>
          <w:tcPr>
            <w:tcW w:type="dxa" w:w="18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Linguistic Bias</w:t>
            </w:r>
          </w:p>
        </w:tc>
        <w:tc>
          <w:tcPr>
            <w:tcW w:type="dxa" w:w="31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The AI performs differently across languages, dialects, or cultural expressions</w:t>
            </w:r>
          </w:p>
        </w:tc>
        <w:tc>
          <w:tcPr>
            <w:tcW w:type="dxa" w:w="41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Test with multilingual inputs and non-standard English. Compare confidence scores and outcomes.</w:t>
            </w:r>
          </w:p>
        </w:tc>
      </w:tr>
      <w:tr>
        <w:tc>
          <w:tcPr>
            <w:tcW w:type="dxa" w:w="18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Temporal Bias</w:t>
            </w:r>
          </w:p>
        </w:tc>
        <w:tc>
          <w:tcPr>
            <w:tcW w:type="dxa" w:w="31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The AI was trained on historical data that does not reflect current conditions</w:t>
            </w:r>
          </w:p>
        </w:tc>
        <w:tc>
          <w:tcPr>
            <w:tcW w:type="dxa" w:w="41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Test with current data. Identify outdated assumptions in the model’s behaviour.</w:t>
            </w:r>
          </w:p>
        </w:tc>
      </w:tr>
      <w:tr>
        <w:tc>
          <w:tcPr>
            <w:tcW w:type="dxa" w:w="18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Proxy Discrimination</w:t>
            </w:r>
          </w:p>
        </w:tc>
        <w:tc>
          <w:tcPr>
            <w:tcW w:type="dxa" w:w="31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The AI uses apparently neutral features that correlate with protected characteristics</w:t>
            </w:r>
          </w:p>
        </w:tc>
        <w:tc>
          <w:tcPr>
            <w:tcW w:type="dxa" w:w="41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Test whether features such as postcode, name, or institution lead to different outcomes for different groups.</w:t>
            </w:r>
          </w:p>
        </w:tc>
      </w:tr>
      <w:tr>
        <w:tc>
          <w:tcPr>
            <w:tcW w:type="dxa" w:w="18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Automation Bias</w:t>
            </w:r>
          </w:p>
        </w:tc>
        <w:tc>
          <w:tcPr>
            <w:tcW w:type="dxa" w:w="31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Users over-trust AI outputs because they came from the system</w:t>
            </w:r>
          </w:p>
        </w:tc>
        <w:tc>
          <w:tcPr>
            <w:tcW w:type="dxa" w:w="41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Test the user interface. Are AI-generated recommendations clearly distinguishable from verified information?</w:t>
            </w:r>
          </w:p>
        </w:tc>
      </w:tr>
    </w:tbl>
    <w:p>
      <w:pPr>
        <w:spacing w:after="100"/>
      </w:pPr>
    </w:p>
    <w:p>
      <w:pPr>
        <w:pStyle w:val="Heading2"/>
        <w:spacing w:before="360" w:after="160"/>
      </w:pPr>
      <w:r>
        <w:rPr>
          <w:rFonts w:ascii="Georgia" w:cs="Georgia" w:eastAsia="Georgia" w:hAnsi="Georgia"/>
          <w:b/>
          <w:bCs/>
          <w:color w:val="2E75B6"/>
          <w:sz w:val="27"/>
          <w:szCs w:val="27"/>
        </w:rPr>
        <w:t xml:space="preserve">8.2 Bias Testing Approach for Client Engagements</w:t>
      </w:r>
    </w:p>
    <w:p>
      <w:pPr>
        <w:pStyle w:val="ListParagraph"/>
        <w:numPr>
          <w:ilvl w:val="0"/>
          <w:numId w:val="3"/>
        </w:numPr>
        <w:spacing w:after="80" w:line="300"/>
      </w:pPr>
      <w:r>
        <w:rPr>
          <w:rFonts w:ascii="Calibri" w:cs="Calibri" w:eastAsia="Calibri" w:hAnsi="Calibri"/>
          <w:b/>
          <w:bCs/>
          <w:color w:val="2D2D2D"/>
          <w:sz w:val="22"/>
          <w:szCs w:val="22"/>
        </w:rPr>
        <w:t xml:space="preserve">Identify protected attributes: </w:t>
      </w:r>
      <w:r>
        <w:rPr>
          <w:rFonts w:ascii="Calibri" w:cs="Calibri" w:eastAsia="Calibri" w:hAnsi="Calibri"/>
          <w:color w:val="2D2D2D"/>
          <w:sz w:val="22"/>
          <w:szCs w:val="22"/>
        </w:rPr>
        <w:t xml:space="preserve">Work with the client to determine which characteristics could lead to discriminatory outcomes in their application’s context.</w:t>
      </w:r>
    </w:p>
    <w:p>
      <w:pPr>
        <w:pStyle w:val="ListParagraph"/>
        <w:numPr>
          <w:ilvl w:val="0"/>
          <w:numId w:val="3"/>
        </w:numPr>
        <w:spacing w:after="80" w:line="300"/>
      </w:pPr>
      <w:r>
        <w:rPr>
          <w:rFonts w:ascii="Calibri" w:cs="Calibri" w:eastAsia="Calibri" w:hAnsi="Calibri"/>
          <w:b/>
          <w:bCs/>
          <w:color w:val="2D2D2D"/>
          <w:sz w:val="22"/>
          <w:szCs w:val="22"/>
        </w:rPr>
        <w:t xml:space="preserve">Build controlled test datasets: </w:t>
      </w:r>
      <w:r>
        <w:rPr>
          <w:rFonts w:ascii="Calibri" w:cs="Calibri" w:eastAsia="Calibri" w:hAnsi="Calibri"/>
          <w:color w:val="2D2D2D"/>
          <w:sz w:val="22"/>
          <w:szCs w:val="22"/>
        </w:rPr>
        <w:t xml:space="preserve">Vary one protected attribute while holding all other inputs constant. This isolation is required to identify differential treatment.</w:t>
      </w:r>
    </w:p>
    <w:p>
      <w:pPr>
        <w:pStyle w:val="ListParagraph"/>
        <w:numPr>
          <w:ilvl w:val="0"/>
          <w:numId w:val="3"/>
        </w:numPr>
        <w:spacing w:after="80" w:line="300"/>
      </w:pPr>
      <w:r>
        <w:rPr>
          <w:rFonts w:ascii="Calibri" w:cs="Calibri" w:eastAsia="Calibri" w:hAnsi="Calibri"/>
          <w:b/>
          <w:bCs/>
          <w:color w:val="2D2D2D"/>
          <w:sz w:val="22"/>
          <w:szCs w:val="22"/>
        </w:rPr>
        <w:t xml:space="preserve">Measure outcome parity: </w:t>
      </w:r>
      <w:r>
        <w:rPr>
          <w:rFonts w:ascii="Calibri" w:cs="Calibri" w:eastAsia="Calibri" w:hAnsi="Calibri"/>
          <w:color w:val="2D2D2D"/>
          <w:sz w:val="22"/>
          <w:szCs w:val="22"/>
        </w:rPr>
        <w:t xml:space="preserve">Compare results across groups using statistical methods. Visual inspection is not sufficient.</w:t>
      </w:r>
    </w:p>
    <w:p>
      <w:pPr>
        <w:pStyle w:val="ListParagraph"/>
        <w:numPr>
          <w:ilvl w:val="0"/>
          <w:numId w:val="3"/>
        </w:numPr>
        <w:spacing w:after="80" w:line="300"/>
      </w:pPr>
      <w:r>
        <w:rPr>
          <w:rFonts w:ascii="Calibri" w:cs="Calibri" w:eastAsia="Calibri" w:hAnsi="Calibri"/>
          <w:b/>
          <w:bCs/>
          <w:color w:val="2D2D2D"/>
          <w:sz w:val="22"/>
          <w:szCs w:val="22"/>
        </w:rPr>
        <w:t xml:space="preserve">Test intersections: </w:t>
      </w:r>
      <w:r>
        <w:rPr>
          <w:rFonts w:ascii="Calibri" w:cs="Calibri" w:eastAsia="Calibri" w:hAnsi="Calibri"/>
          <w:color w:val="2D2D2D"/>
          <w:sz w:val="22"/>
          <w:szCs w:val="22"/>
        </w:rPr>
        <w:t xml:space="preserve">Bias compounds at the intersection of multiple attributes. Test combinations, not just individual characteristics.</w:t>
      </w:r>
    </w:p>
    <w:p>
      <w:pPr>
        <w:pStyle w:val="ListParagraph"/>
        <w:numPr>
          <w:ilvl w:val="0"/>
          <w:numId w:val="3"/>
        </w:numPr>
        <w:spacing w:after="80" w:line="300"/>
      </w:pPr>
      <w:r>
        <w:rPr>
          <w:rFonts w:ascii="Calibri" w:cs="Calibri" w:eastAsia="Calibri" w:hAnsi="Calibri"/>
          <w:b/>
          <w:bCs/>
          <w:color w:val="2D2D2D"/>
          <w:sz w:val="22"/>
          <w:szCs w:val="22"/>
        </w:rPr>
        <w:t xml:space="preserve">Involve diverse perspectives: </w:t>
      </w:r>
      <w:r>
        <w:rPr>
          <w:rFonts w:ascii="Calibri" w:cs="Calibri" w:eastAsia="Calibri" w:hAnsi="Calibri"/>
          <w:color w:val="2D2D2D"/>
          <w:sz w:val="22"/>
          <w:szCs w:val="22"/>
        </w:rPr>
        <w:t xml:space="preserve">Seek input from people with different backgrounds. The testing team’s composition influences what they think to test.</w:t>
      </w:r>
    </w:p>
    <w:p>
      <w:pPr>
        <w:pStyle w:val="ListParagraph"/>
        <w:numPr>
          <w:ilvl w:val="0"/>
          <w:numId w:val="3"/>
        </w:numPr>
        <w:spacing w:after="80" w:line="300"/>
      </w:pPr>
      <w:r>
        <w:rPr>
          <w:rFonts w:ascii="Calibri" w:cs="Calibri" w:eastAsia="Calibri" w:hAnsi="Calibri"/>
          <w:b/>
          <w:bCs/>
          <w:color w:val="2D2D2D"/>
          <w:sz w:val="22"/>
          <w:szCs w:val="22"/>
        </w:rPr>
        <w:t xml:space="preserve">Classify bias findings as critical: </w:t>
      </w:r>
      <w:r>
        <w:rPr>
          <w:rFonts w:ascii="Calibri" w:cs="Calibri" w:eastAsia="Calibri" w:hAnsi="Calibri"/>
          <w:color w:val="2D2D2D"/>
          <w:sz w:val="22"/>
          <w:szCs w:val="22"/>
        </w:rPr>
        <w:t xml:space="preserve">Bias that leads to discriminatory outcomes is a critical defect. For government applications, it may have legal and political consequences.</w:t>
      </w:r>
    </w:p>
    <w:p>
      <w:pPr>
        <w:pStyle w:val="Heading2"/>
        <w:spacing w:before="360" w:after="160"/>
      </w:pPr>
      <w:r>
        <w:rPr>
          <w:rFonts w:ascii="Georgia" w:cs="Georgia" w:eastAsia="Georgia" w:hAnsi="Georgia"/>
          <w:b/>
          <w:bCs/>
          <w:color w:val="2E75B6"/>
          <w:sz w:val="27"/>
          <w:szCs w:val="27"/>
        </w:rPr>
        <w:t xml:space="preserve">8.3 Ethical Considerations When Testing AI Features for Clients</w:t>
      </w:r>
    </w:p>
    <w:p>
      <w:pPr>
        <w:pStyle w:val="ListParagraph"/>
        <w:numPr>
          <w:ilvl w:val="0"/>
          <w:numId w:val="2"/>
        </w:numPr>
        <w:spacing w:after="80" w:line="300"/>
      </w:pPr>
      <w:r>
        <w:rPr>
          <w:rFonts w:ascii="Calibri" w:cs="Calibri" w:eastAsia="Calibri" w:hAnsi="Calibri"/>
          <w:b/>
          <w:bCs/>
          <w:color w:val="2D2D2D"/>
          <w:sz w:val="22"/>
          <w:szCs w:val="22"/>
        </w:rPr>
        <w:t xml:space="preserve">Transparency: </w:t>
      </w:r>
      <w:r>
        <w:rPr>
          <w:rFonts w:ascii="Calibri" w:cs="Calibri" w:eastAsia="Calibri" w:hAnsi="Calibri"/>
          <w:color w:val="2D2D2D"/>
          <w:sz w:val="22"/>
          <w:szCs w:val="22"/>
        </w:rPr>
        <w:t xml:space="preserve">Does the application make it clear to users when they are interacting with AI?</w:t>
      </w:r>
    </w:p>
    <w:p>
      <w:pPr>
        <w:pStyle w:val="ListParagraph"/>
        <w:numPr>
          <w:ilvl w:val="0"/>
          <w:numId w:val="2"/>
        </w:numPr>
        <w:spacing w:after="80" w:line="300"/>
      </w:pPr>
      <w:r>
        <w:rPr>
          <w:rFonts w:ascii="Calibri" w:cs="Calibri" w:eastAsia="Calibri" w:hAnsi="Calibri"/>
          <w:b/>
          <w:bCs/>
          <w:color w:val="2D2D2D"/>
          <w:sz w:val="22"/>
          <w:szCs w:val="22"/>
        </w:rPr>
        <w:t xml:space="preserve">Explainability: </w:t>
      </w:r>
      <w:r>
        <w:rPr>
          <w:rFonts w:ascii="Calibri" w:cs="Calibri" w:eastAsia="Calibri" w:hAnsi="Calibri"/>
          <w:color w:val="2D2D2D"/>
          <w:sz w:val="22"/>
          <w:szCs w:val="22"/>
        </w:rPr>
        <w:t xml:space="preserve">Can the system explain its decisions? This is particularly important for government applications where citizens may challenge automated decisions.</w:t>
      </w:r>
    </w:p>
    <w:p>
      <w:pPr>
        <w:pStyle w:val="ListParagraph"/>
        <w:numPr>
          <w:ilvl w:val="0"/>
          <w:numId w:val="2"/>
        </w:numPr>
        <w:spacing w:after="80" w:line="300"/>
      </w:pPr>
      <w:r>
        <w:rPr>
          <w:rFonts w:ascii="Calibri" w:cs="Calibri" w:eastAsia="Calibri" w:hAnsi="Calibri"/>
          <w:b/>
          <w:bCs/>
          <w:color w:val="2D2D2D"/>
          <w:sz w:val="22"/>
          <w:szCs w:val="22"/>
        </w:rPr>
        <w:t xml:space="preserve">Consent: </w:t>
      </w:r>
      <w:r>
        <w:rPr>
          <w:rFonts w:ascii="Calibri" w:cs="Calibri" w:eastAsia="Calibri" w:hAnsi="Calibri"/>
          <w:color w:val="2D2D2D"/>
          <w:sz w:val="22"/>
          <w:szCs w:val="22"/>
        </w:rPr>
        <w:t xml:space="preserve">Are users properly informed that AI is processing their data?</w:t>
      </w:r>
    </w:p>
    <w:p>
      <w:pPr>
        <w:pStyle w:val="ListParagraph"/>
        <w:numPr>
          <w:ilvl w:val="0"/>
          <w:numId w:val="2"/>
        </w:numPr>
        <w:spacing w:after="80" w:line="300"/>
      </w:pPr>
      <w:r>
        <w:rPr>
          <w:rFonts w:ascii="Calibri" w:cs="Calibri" w:eastAsia="Calibri" w:hAnsi="Calibri"/>
          <w:b/>
          <w:bCs/>
          <w:color w:val="2D2D2D"/>
          <w:sz w:val="22"/>
          <w:szCs w:val="22"/>
        </w:rPr>
        <w:t xml:space="preserve">Human oversight: </w:t>
      </w:r>
      <w:r>
        <w:rPr>
          <w:rFonts w:ascii="Calibri" w:cs="Calibri" w:eastAsia="Calibri" w:hAnsi="Calibri"/>
          <w:color w:val="2D2D2D"/>
          <w:sz w:val="22"/>
          <w:szCs w:val="22"/>
        </w:rPr>
        <w:t xml:space="preserve">Is there a functioning path to escalate from AI to human decision-making? Does it work under load?</w:t>
      </w:r>
    </w:p>
    <w:p>
      <w:pPr>
        <w:pStyle w:val="ListParagraph"/>
        <w:numPr>
          <w:ilvl w:val="0"/>
          <w:numId w:val="2"/>
        </w:numPr>
        <w:spacing w:after="80" w:line="300"/>
      </w:pPr>
      <w:r>
        <w:rPr>
          <w:rFonts w:ascii="Calibri" w:cs="Calibri" w:eastAsia="Calibri" w:hAnsi="Calibri"/>
          <w:b/>
          <w:bCs/>
          <w:color w:val="2D2D2D"/>
          <w:sz w:val="22"/>
          <w:szCs w:val="22"/>
        </w:rPr>
        <w:t xml:space="preserve">Proportionality: </w:t>
      </w:r>
      <w:r>
        <w:rPr>
          <w:rFonts w:ascii="Calibri" w:cs="Calibri" w:eastAsia="Calibri" w:hAnsi="Calibri"/>
          <w:color w:val="2D2D2D"/>
          <w:sz w:val="22"/>
          <w:szCs w:val="22"/>
        </w:rPr>
        <w:t xml:space="preserve">Is the use of AI proportionate to the task? For government services, automated decision-making must be justified and reviewable.</w:t>
      </w:r>
    </w:p>
    <w:p>
      <w:r>
        <w:br w:type="page"/>
      </w:r>
    </w:p>
    <w:p>
      <w:pPr>
        <w:pStyle w:val="Heading1"/>
        <w:spacing w:before="480" w:after="200"/>
      </w:pPr>
      <w:r>
        <w:rPr>
          <w:rFonts w:ascii="Georgia" w:cs="Georgia" w:eastAsia="Georgia" w:hAnsi="Georgia"/>
          <w:b/>
          <w:bCs/>
          <w:color w:val="1B2A4A"/>
          <w:sz w:val="34"/>
          <w:szCs w:val="34"/>
        </w:rPr>
        <w:t xml:space="preserve">9. Testing AI Features in Client Applications</w:t>
      </w:r>
    </w:p>
    <w:p>
      <w:pPr>
        <w:spacing w:after="160" w:line="300"/>
      </w:pPr>
      <w:r>
        <w:rPr>
          <w:rFonts w:ascii="Calibri" w:cs="Calibri" w:eastAsia="Calibri" w:hAnsi="Calibri"/>
          <w:color w:val="2D2D2D"/>
          <w:sz w:val="22"/>
          <w:szCs w:val="22"/>
        </w:rPr>
        <w:t xml:space="preserve">As more of our clients build AI features into their products, our teams will need to adapt how we test. AI features behave differently from traditional software, and the testing approach must reflect this.</w:t>
      </w:r>
    </w:p>
    <w:p>
      <w:pPr>
        <w:pStyle w:val="Heading2"/>
        <w:spacing w:before="360" w:after="160"/>
      </w:pPr>
      <w:r>
        <w:rPr>
          <w:rFonts w:ascii="Georgia" w:cs="Georgia" w:eastAsia="Georgia" w:hAnsi="Georgia"/>
          <w:b/>
          <w:bCs/>
          <w:color w:val="2E75B6"/>
          <w:sz w:val="27"/>
          <w:szCs w:val="27"/>
        </w:rPr>
        <w:t xml:space="preserve">9.1 How AI Testing Differs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rPr>
          <w:tblHeader/>
        </w:trPr>
        <w:tc>
          <w:tcPr>
            <w:tcW w:type="dxa" w:w="1800"/>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Dimension</w:t>
            </w:r>
          </w:p>
        </w:tc>
        <w:tc>
          <w:tcPr>
            <w:tcW w:type="dxa" w:w="3613"/>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Traditional Software</w:t>
            </w:r>
          </w:p>
        </w:tc>
        <w:tc>
          <w:tcPr>
            <w:tcW w:type="dxa" w:w="3613"/>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AI-Powered Features</w:t>
            </w:r>
          </w:p>
        </w:tc>
      </w:tr>
      <w:tr>
        <w:tc>
          <w:tcPr>
            <w:tcW w:type="dxa" w:w="18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Correctness</w:t>
            </w:r>
          </w:p>
        </w:tc>
        <w:tc>
          <w:tcPr>
            <w:tcW w:type="dxa" w:w="36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Output is right or wrong</w:t>
            </w:r>
          </w:p>
        </w:tc>
        <w:tc>
          <w:tcPr>
            <w:tcW w:type="dxa" w:w="36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Output may be within an acceptable confidence range or probability threshold</w:t>
            </w:r>
          </w:p>
        </w:tc>
      </w:tr>
      <w:tr>
        <w:tc>
          <w:tcPr>
            <w:tcW w:type="dxa" w:w="18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Reproducibility</w:t>
            </w:r>
          </w:p>
        </w:tc>
        <w:tc>
          <w:tcPr>
            <w:tcW w:type="dxa" w:w="36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Same input produces the same output every time</w:t>
            </w:r>
          </w:p>
        </w:tc>
        <w:tc>
          <w:tcPr>
            <w:tcW w:type="dxa" w:w="36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Output may vary between runs due to model behaviour or real-time data</w:t>
            </w:r>
          </w:p>
        </w:tc>
      </w:tr>
      <w:tr>
        <w:tc>
          <w:tcPr>
            <w:tcW w:type="dxa" w:w="18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Test Oracles</w:t>
            </w:r>
          </w:p>
        </w:tc>
        <w:tc>
          <w:tcPr>
            <w:tcW w:type="dxa" w:w="36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Expected results are precisely defined in advance</w:t>
            </w:r>
          </w:p>
        </w:tc>
        <w:tc>
          <w:tcPr>
            <w:tcW w:type="dxa" w:w="36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Expected results may be ranges, confidence levels, or require human evaluation</w:t>
            </w:r>
          </w:p>
        </w:tc>
      </w:tr>
      <w:tr>
        <w:tc>
          <w:tcPr>
            <w:tcW w:type="dxa" w:w="18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Failure Modes</w:t>
            </w:r>
          </w:p>
        </w:tc>
        <w:tc>
          <w:tcPr>
            <w:tcW w:type="dxa" w:w="36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Crashes, wrong values, timeouts</w:t>
            </w:r>
          </w:p>
        </w:tc>
        <w:tc>
          <w:tcPr>
            <w:tcW w:type="dxa" w:w="36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Hallucination, drift, bias, adversarial vulnerability, miscalibrated confidence</w:t>
            </w:r>
          </w:p>
        </w:tc>
      </w:tr>
      <w:tr>
        <w:tc>
          <w:tcPr>
            <w:tcW w:type="dxa" w:w="18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Regression Triggers</w:t>
            </w:r>
          </w:p>
        </w:tc>
        <w:tc>
          <w:tcPr>
            <w:tcW w:type="dxa" w:w="36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Code changes</w:t>
            </w:r>
          </w:p>
        </w:tc>
        <w:tc>
          <w:tcPr>
            <w:tcW w:type="dxa" w:w="36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Code changes, data changes, model retraining, and upstream pipeline changes</w:t>
            </w:r>
          </w:p>
        </w:tc>
      </w:tr>
      <w:tr>
        <w:tc>
          <w:tcPr>
            <w:tcW w:type="dxa" w:w="18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Coverage Metrics</w:t>
            </w:r>
          </w:p>
        </w:tc>
        <w:tc>
          <w:tcPr>
            <w:tcW w:type="dxa" w:w="36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Code and branch coverage</w:t>
            </w:r>
          </w:p>
        </w:tc>
        <w:tc>
          <w:tcPr>
            <w:tcW w:type="dxa" w:w="36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Data coverage, demographic coverage, edge case coverage, adversarial coverage</w:t>
            </w:r>
          </w:p>
        </w:tc>
      </w:tr>
    </w:tbl>
    <w:p>
      <w:pPr>
        <w:spacing w:after="100"/>
      </w:pPr>
    </w:p>
    <w:p>
      <w:pPr>
        <w:pStyle w:val="Heading2"/>
        <w:spacing w:before="360" w:after="160"/>
      </w:pPr>
      <w:r>
        <w:rPr>
          <w:rFonts w:ascii="Georgia" w:cs="Georgia" w:eastAsia="Georgia" w:hAnsi="Georgia"/>
          <w:b/>
          <w:bCs/>
          <w:color w:val="2E75B6"/>
          <w:sz w:val="27"/>
          <w:szCs w:val="27"/>
        </w:rPr>
        <w:t xml:space="preserve">9.2 Testing Layers for AI Features</w:t>
      </w:r>
    </w:p>
    <w:p>
      <w:pPr>
        <w:pStyle w:val="ListParagraph"/>
        <w:numPr>
          <w:ilvl w:val="0"/>
          <w:numId w:val="3"/>
        </w:numPr>
        <w:spacing w:after="80" w:line="300"/>
      </w:pPr>
      <w:r>
        <w:rPr>
          <w:rFonts w:ascii="Calibri" w:cs="Calibri" w:eastAsia="Calibri" w:hAnsi="Calibri"/>
          <w:b/>
          <w:bCs/>
          <w:color w:val="2D2D2D"/>
          <w:sz w:val="22"/>
          <w:szCs w:val="22"/>
        </w:rPr>
        <w:t xml:space="preserve">Model-Level: </w:t>
      </w:r>
      <w:r>
        <w:rPr>
          <w:rFonts w:ascii="Calibri" w:cs="Calibri" w:eastAsia="Calibri" w:hAnsi="Calibri"/>
          <w:color w:val="2D2D2D"/>
          <w:sz w:val="22"/>
          <w:szCs w:val="22"/>
        </w:rPr>
        <w:t xml:space="preserve">Validate accuracy, precision, recall, and other relevant metrics against agreed thresholds using held-out test data provided by the client’s development team.</w:t>
      </w:r>
    </w:p>
    <w:p>
      <w:pPr>
        <w:pStyle w:val="ListParagraph"/>
        <w:numPr>
          <w:ilvl w:val="0"/>
          <w:numId w:val="3"/>
        </w:numPr>
        <w:spacing w:after="80" w:line="300"/>
      </w:pPr>
      <w:r>
        <w:rPr>
          <w:rFonts w:ascii="Calibri" w:cs="Calibri" w:eastAsia="Calibri" w:hAnsi="Calibri"/>
          <w:b/>
          <w:bCs/>
          <w:color w:val="2D2D2D"/>
          <w:sz w:val="22"/>
          <w:szCs w:val="22"/>
        </w:rPr>
        <w:t xml:space="preserve">Integration: </w:t>
      </w:r>
      <w:r>
        <w:rPr>
          <w:rFonts w:ascii="Calibri" w:cs="Calibri" w:eastAsia="Calibri" w:hAnsi="Calibri"/>
          <w:color w:val="2D2D2D"/>
          <w:sz w:val="22"/>
          <w:szCs w:val="22"/>
        </w:rPr>
        <w:t xml:space="preserve">Verify that the AI component integrates correctly with the wider application. Inputs are preprocessed correctly, outputs are handled correctly, and fallbacks work when confidence is low.</w:t>
      </w:r>
    </w:p>
    <w:p>
      <w:pPr>
        <w:pStyle w:val="ListParagraph"/>
        <w:numPr>
          <w:ilvl w:val="0"/>
          <w:numId w:val="3"/>
        </w:numPr>
        <w:spacing w:after="80" w:line="300"/>
      </w:pPr>
      <w:r>
        <w:rPr>
          <w:rFonts w:ascii="Calibri" w:cs="Calibri" w:eastAsia="Calibri" w:hAnsi="Calibri"/>
          <w:b/>
          <w:bCs/>
          <w:color w:val="2D2D2D"/>
          <w:sz w:val="22"/>
          <w:szCs w:val="22"/>
        </w:rPr>
        <w:t xml:space="preserve">Behavioural: </w:t>
      </w:r>
      <w:r>
        <w:rPr>
          <w:rFonts w:ascii="Calibri" w:cs="Calibri" w:eastAsia="Calibri" w:hAnsi="Calibri"/>
          <w:color w:val="2D2D2D"/>
          <w:sz w:val="22"/>
          <w:szCs w:val="22"/>
        </w:rPr>
        <w:t xml:space="preserve">End-to-end testing from the user’s perspective. Does the feature work as expected? Does it handle edge cases? Does it fail gracefully?</w:t>
      </w:r>
    </w:p>
    <w:p>
      <w:pPr>
        <w:pStyle w:val="ListParagraph"/>
        <w:numPr>
          <w:ilvl w:val="0"/>
          <w:numId w:val="3"/>
        </w:numPr>
        <w:spacing w:after="80" w:line="300"/>
      </w:pPr>
      <w:r>
        <w:rPr>
          <w:rFonts w:ascii="Calibri" w:cs="Calibri" w:eastAsia="Calibri" w:hAnsi="Calibri"/>
          <w:b/>
          <w:bCs/>
          <w:color w:val="2D2D2D"/>
          <w:sz w:val="22"/>
          <w:szCs w:val="22"/>
        </w:rPr>
        <w:t xml:space="preserve">Adversarial: </w:t>
      </w:r>
      <w:r>
        <w:rPr>
          <w:rFonts w:ascii="Calibri" w:cs="Calibri" w:eastAsia="Calibri" w:hAnsi="Calibri"/>
          <w:color w:val="2D2D2D"/>
          <w:sz w:val="22"/>
          <w:szCs w:val="22"/>
        </w:rPr>
        <w:t xml:space="preserve">Test for prompt injection, adversarial inputs, and attempts to manipulate model behaviour. This applies across all layers.</w:t>
      </w:r>
    </w:p>
    <w:p>
      <w:pPr>
        <w:pStyle w:val="ListParagraph"/>
        <w:numPr>
          <w:ilvl w:val="0"/>
          <w:numId w:val="3"/>
        </w:numPr>
        <w:spacing w:after="80" w:line="300"/>
      </w:pPr>
      <w:r>
        <w:rPr>
          <w:rFonts w:ascii="Calibri" w:cs="Calibri" w:eastAsia="Calibri" w:hAnsi="Calibri"/>
          <w:b/>
          <w:bCs/>
          <w:color w:val="2D2D2D"/>
          <w:sz w:val="22"/>
          <w:szCs w:val="22"/>
        </w:rPr>
        <w:t xml:space="preserve">Fairness and Compliance: </w:t>
      </w:r>
      <w:r>
        <w:rPr>
          <w:rFonts w:ascii="Calibri" w:cs="Calibri" w:eastAsia="Calibri" w:hAnsi="Calibri"/>
          <w:color w:val="2D2D2D"/>
          <w:sz w:val="22"/>
          <w:szCs w:val="22"/>
        </w:rPr>
        <w:t xml:space="preserve">Test for bias, regulatory alignment, and ethical requirements. Also applies across all layers.</w:t>
      </w:r>
    </w:p>
    <w:p>
      <w:pPr>
        <w:pStyle w:val="Heading2"/>
        <w:spacing w:before="360" w:after="160"/>
      </w:pPr>
      <w:r>
        <w:rPr>
          <w:rFonts w:ascii="Georgia" w:cs="Georgia" w:eastAsia="Georgia" w:hAnsi="Georgia"/>
          <w:b/>
          <w:bCs/>
          <w:color w:val="2E75B6"/>
          <w:sz w:val="27"/>
          <w:szCs w:val="27"/>
        </w:rPr>
        <w:t xml:space="preserve">9.3 Non-Functional Testing for AI Features</w:t>
      </w:r>
    </w:p>
    <w:p>
      <w:pPr>
        <w:pStyle w:val="ListParagraph"/>
        <w:numPr>
          <w:ilvl w:val="0"/>
          <w:numId w:val="2"/>
        </w:numPr>
        <w:spacing w:after="80" w:line="300"/>
      </w:pPr>
      <w:r>
        <w:rPr>
          <w:rFonts w:ascii="Calibri" w:cs="Calibri" w:eastAsia="Calibri" w:hAnsi="Calibri"/>
          <w:b/>
          <w:bCs/>
          <w:color w:val="2D2D2D"/>
          <w:sz w:val="22"/>
          <w:szCs w:val="22"/>
        </w:rPr>
        <w:t xml:space="preserve">Performance: </w:t>
      </w:r>
      <w:r>
        <w:rPr>
          <w:rFonts w:ascii="Calibri" w:cs="Calibri" w:eastAsia="Calibri" w:hAnsi="Calibri"/>
          <w:color w:val="2D2D2D"/>
          <w:sz w:val="22"/>
          <w:szCs w:val="22"/>
        </w:rPr>
        <w:t xml:space="preserve">AI inference adds latency. Define acceptable response times with the client and test under realistic load.</w:t>
      </w:r>
    </w:p>
    <w:p>
      <w:pPr>
        <w:pStyle w:val="ListParagraph"/>
        <w:numPr>
          <w:ilvl w:val="0"/>
          <w:numId w:val="2"/>
        </w:numPr>
        <w:spacing w:after="80" w:line="300"/>
      </w:pPr>
      <w:r>
        <w:rPr>
          <w:rFonts w:ascii="Calibri" w:cs="Calibri" w:eastAsia="Calibri" w:hAnsi="Calibri"/>
          <w:b/>
          <w:bCs/>
          <w:color w:val="2D2D2D"/>
          <w:sz w:val="22"/>
          <w:szCs w:val="22"/>
        </w:rPr>
        <w:t xml:space="preserve">Reliability: </w:t>
      </w:r>
      <w:r>
        <w:rPr>
          <w:rFonts w:ascii="Calibri" w:cs="Calibri" w:eastAsia="Calibri" w:hAnsi="Calibri"/>
          <w:color w:val="2D2D2D"/>
          <w:sz w:val="22"/>
          <w:szCs w:val="22"/>
        </w:rPr>
        <w:t xml:space="preserve">What happens when the AI model service is unavailable? Test that the application degrades gracefully.</w:t>
      </w:r>
    </w:p>
    <w:p>
      <w:pPr>
        <w:pStyle w:val="ListParagraph"/>
        <w:numPr>
          <w:ilvl w:val="0"/>
          <w:numId w:val="2"/>
        </w:numPr>
        <w:spacing w:after="80" w:line="300"/>
      </w:pPr>
      <w:r>
        <w:rPr>
          <w:rFonts w:ascii="Calibri" w:cs="Calibri" w:eastAsia="Calibri" w:hAnsi="Calibri"/>
          <w:b/>
          <w:bCs/>
          <w:color w:val="2D2D2D"/>
          <w:sz w:val="22"/>
          <w:szCs w:val="22"/>
        </w:rPr>
        <w:t xml:space="preserve">Scalability: </w:t>
      </w:r>
      <w:r>
        <w:rPr>
          <w:rFonts w:ascii="Calibri" w:cs="Calibri" w:eastAsia="Calibri" w:hAnsi="Calibri"/>
          <w:color w:val="2D2D2D"/>
          <w:sz w:val="22"/>
          <w:szCs w:val="22"/>
        </w:rPr>
        <w:t xml:space="preserve">Model serving infrastructure must handle concurrent users. Test at expected peak loads.</w:t>
      </w:r>
    </w:p>
    <w:p>
      <w:pPr>
        <w:pStyle w:val="ListParagraph"/>
        <w:numPr>
          <w:ilvl w:val="0"/>
          <w:numId w:val="2"/>
        </w:numPr>
        <w:spacing w:after="80" w:line="300"/>
      </w:pPr>
      <w:r>
        <w:rPr>
          <w:rFonts w:ascii="Calibri" w:cs="Calibri" w:eastAsia="Calibri" w:hAnsi="Calibri"/>
          <w:b/>
          <w:bCs/>
          <w:color w:val="2D2D2D"/>
          <w:sz w:val="22"/>
          <w:szCs w:val="22"/>
        </w:rPr>
        <w:t xml:space="preserve">Cost efficiency: </w:t>
      </w:r>
      <w:r>
        <w:rPr>
          <w:rFonts w:ascii="Calibri" w:cs="Calibri" w:eastAsia="Calibri" w:hAnsi="Calibri"/>
          <w:color w:val="2D2D2D"/>
          <w:sz w:val="22"/>
          <w:szCs w:val="22"/>
        </w:rPr>
        <w:t xml:space="preserve">AI inference is charged per request. Test that the application handles batching, caching, and deduplication efficiently.</w:t>
      </w:r>
    </w:p>
    <w:p>
      <w:pPr>
        <w:pStyle w:val="ListParagraph"/>
        <w:numPr>
          <w:ilvl w:val="0"/>
          <w:numId w:val="2"/>
        </w:numPr>
        <w:spacing w:after="80" w:line="300"/>
      </w:pPr>
      <w:r>
        <w:rPr>
          <w:rFonts w:ascii="Calibri" w:cs="Calibri" w:eastAsia="Calibri" w:hAnsi="Calibri"/>
          <w:b/>
          <w:bCs/>
          <w:color w:val="2D2D2D"/>
          <w:sz w:val="22"/>
          <w:szCs w:val="22"/>
        </w:rPr>
        <w:t xml:space="preserve">Observability: </w:t>
      </w:r>
      <w:r>
        <w:rPr>
          <w:rFonts w:ascii="Calibri" w:cs="Calibri" w:eastAsia="Calibri" w:hAnsi="Calibri"/>
          <w:color w:val="2D2D2D"/>
          <w:sz w:val="22"/>
          <w:szCs w:val="22"/>
        </w:rPr>
        <w:t xml:space="preserve">Confirm that model behaviour can be monitored in production. Drift metrics, confidence distributions, and error rates should be visible.</w:t>
      </w:r>
    </w:p>
    <w:p>
      <w:r>
        <w:br w:type="page"/>
      </w:r>
    </w:p>
    <w:p>
      <w:pPr>
        <w:pStyle w:val="Heading1"/>
        <w:spacing w:before="480" w:after="200"/>
      </w:pPr>
      <w:r>
        <w:rPr>
          <w:rFonts w:ascii="Georgia" w:cs="Georgia" w:eastAsia="Georgia" w:hAnsi="Georgia"/>
          <w:b/>
          <w:bCs/>
          <w:color w:val="1B2A4A"/>
          <w:sz w:val="34"/>
          <w:szCs w:val="34"/>
        </w:rPr>
        <w:t xml:space="preserve">10. Operational Risks</w:t>
      </w:r>
    </w:p>
    <w:p>
      <w:pPr>
        <w:pStyle w:val="Heading2"/>
        <w:spacing w:before="360" w:after="160"/>
      </w:pPr>
      <w:r>
        <w:rPr>
          <w:rFonts w:ascii="Georgia" w:cs="Georgia" w:eastAsia="Georgia" w:hAnsi="Georgia"/>
          <w:b/>
          <w:bCs/>
          <w:color w:val="2E75B6"/>
          <w:sz w:val="27"/>
          <w:szCs w:val="27"/>
        </w:rPr>
        <w:t xml:space="preserve">10.1 Skills Erosion</w:t>
      </w:r>
    </w:p>
    <w:p>
      <w:pPr>
        <w:spacing w:after="160" w:line="300"/>
      </w:pPr>
      <w:r>
        <w:rPr>
          <w:rFonts w:ascii="Calibri" w:cs="Calibri" w:eastAsia="Calibri" w:hAnsi="Calibri"/>
          <w:color w:val="2D2D2D"/>
          <w:sz w:val="22"/>
          <w:szCs w:val="22"/>
        </w:rPr>
        <w:t xml:space="preserve">As AI tools become more available, there is a risk that team members rely on them to the point where foundational testing skills decline. This will become apparent when AI tools are unavailable, when outputs need to be critically evaluated, or when novel challenges arise that AI cannot address.</w:t>
      </w:r>
    </w:p>
    <w:p>
      <w:pPr>
        <w:pStyle w:val="ListParagraph"/>
        <w:numPr>
          <w:ilvl w:val="0"/>
          <w:numId w:val="2"/>
        </w:numPr>
        <w:spacing w:after="80" w:line="300"/>
      </w:pPr>
      <w:r>
        <w:rPr>
          <w:rFonts w:ascii="Calibri" w:cs="Calibri" w:eastAsia="Calibri" w:hAnsi="Calibri"/>
          <w:b/>
          <w:bCs/>
          <w:color w:val="2D2D2D"/>
          <w:sz w:val="22"/>
          <w:szCs w:val="22"/>
        </w:rPr>
        <w:t xml:space="preserve">Review, do not delegate: </w:t>
      </w:r>
      <w:r>
        <w:rPr>
          <w:rFonts w:ascii="Calibri" w:cs="Calibri" w:eastAsia="Calibri" w:hAnsi="Calibri"/>
          <w:color w:val="2D2D2D"/>
          <w:sz w:val="22"/>
          <w:szCs w:val="22"/>
        </w:rPr>
        <w:t xml:space="preserve">AI generates, the team member reviews and explains. The ability to explain the test is the minimum acceptable standard.</w:t>
      </w:r>
    </w:p>
    <w:p>
      <w:pPr>
        <w:pStyle w:val="ListParagraph"/>
        <w:numPr>
          <w:ilvl w:val="0"/>
          <w:numId w:val="2"/>
        </w:numPr>
        <w:spacing w:after="80" w:line="300"/>
      </w:pPr>
      <w:r>
        <w:rPr>
          <w:rFonts w:ascii="Calibri" w:cs="Calibri" w:eastAsia="Calibri" w:hAnsi="Calibri"/>
          <w:b/>
          <w:bCs/>
          <w:color w:val="2D2D2D"/>
          <w:sz w:val="22"/>
          <w:szCs w:val="22"/>
        </w:rPr>
        <w:t xml:space="preserve">Maintain manual capability: </w:t>
      </w:r>
      <w:r>
        <w:rPr>
          <w:rFonts w:ascii="Calibri" w:cs="Calibri" w:eastAsia="Calibri" w:hAnsi="Calibri"/>
          <w:color w:val="2D2D2D"/>
          <w:sz w:val="22"/>
          <w:szCs w:val="22"/>
        </w:rPr>
        <w:t xml:space="preserve">Regular exercises where team members write tests without AI assistance.</w:t>
      </w:r>
    </w:p>
    <w:p>
      <w:pPr>
        <w:pStyle w:val="ListParagraph"/>
        <w:numPr>
          <w:ilvl w:val="0"/>
          <w:numId w:val="2"/>
        </w:numPr>
        <w:spacing w:after="80" w:line="300"/>
      </w:pPr>
      <w:r>
        <w:rPr>
          <w:rFonts w:ascii="Calibri" w:cs="Calibri" w:eastAsia="Calibri" w:hAnsi="Calibri"/>
          <w:b/>
          <w:bCs/>
          <w:color w:val="2D2D2D"/>
          <w:sz w:val="22"/>
          <w:szCs w:val="22"/>
        </w:rPr>
        <w:t xml:space="preserve">Invest in fundamentals: </w:t>
      </w:r>
      <w:r>
        <w:rPr>
          <w:rFonts w:ascii="Calibri" w:cs="Calibri" w:eastAsia="Calibri" w:hAnsi="Calibri"/>
          <w:color w:val="2D2D2D"/>
          <w:sz w:val="22"/>
          <w:szCs w:val="22"/>
        </w:rPr>
        <w:t xml:space="preserve">Test design techniques remain essential. Boundary value analysis, equivalence partitioning, and risk-based testing do not become less important because AI exists.</w:t>
      </w:r>
    </w:p>
    <w:p>
      <w:pPr>
        <w:pStyle w:val="ListParagraph"/>
        <w:numPr>
          <w:ilvl w:val="0"/>
          <w:numId w:val="2"/>
        </w:numPr>
        <w:spacing w:after="80" w:line="300"/>
      </w:pPr>
      <w:r>
        <w:rPr>
          <w:rFonts w:ascii="Calibri" w:cs="Calibri" w:eastAsia="Calibri" w:hAnsi="Calibri"/>
          <w:b/>
          <w:bCs/>
          <w:color w:val="2D2D2D"/>
          <w:sz w:val="22"/>
          <w:szCs w:val="22"/>
        </w:rPr>
        <w:t xml:space="preserve">Mentoring: </w:t>
      </w:r>
      <w:r>
        <w:rPr>
          <w:rFonts w:ascii="Calibri" w:cs="Calibri" w:eastAsia="Calibri" w:hAnsi="Calibri"/>
          <w:color w:val="2D2D2D"/>
          <w:sz w:val="22"/>
          <w:szCs w:val="22"/>
        </w:rPr>
        <w:t xml:space="preserve">Senior testers review AI-generated work with junior colleagues, building professional judgement.</w:t>
      </w:r>
    </w:p>
    <w:p>
      <w:pPr>
        <w:pStyle w:val="Heading2"/>
        <w:spacing w:before="360" w:after="160"/>
      </w:pPr>
      <w:r>
        <w:rPr>
          <w:rFonts w:ascii="Georgia" w:cs="Georgia" w:eastAsia="Georgia" w:hAnsi="Georgia"/>
          <w:b/>
          <w:bCs/>
          <w:color w:val="2E75B6"/>
          <w:sz w:val="27"/>
          <w:szCs w:val="27"/>
        </w:rPr>
        <w:t xml:space="preserve">10.2 Vendor Lock-In</w:t>
      </w:r>
    </w:p>
    <w:p>
      <w:pPr>
        <w:spacing w:after="160" w:line="300"/>
      </w:pPr>
      <w:r>
        <w:rPr>
          <w:rFonts w:ascii="Calibri" w:cs="Calibri" w:eastAsia="Calibri" w:hAnsi="Calibri"/>
          <w:color w:val="2D2D2D"/>
          <w:sz w:val="22"/>
          <w:szCs w:val="22"/>
        </w:rPr>
        <w:t xml:space="preserve">As we integrate AI tools into our processes, dependency on a single provider creates risk. Pricing changes, API changes, or service disruptions could affect our ability to deliver.</w:t>
      </w:r>
    </w:p>
    <w:p>
      <w:pPr>
        <w:pStyle w:val="ListParagraph"/>
        <w:numPr>
          <w:ilvl w:val="0"/>
          <w:numId w:val="2"/>
        </w:numPr>
        <w:spacing w:after="80" w:line="300"/>
      </w:pPr>
      <w:r>
        <w:rPr>
          <w:rFonts w:ascii="Calibri" w:cs="Calibri" w:eastAsia="Calibri" w:hAnsi="Calibri"/>
          <w:b/>
          <w:bCs/>
          <w:color w:val="2D2D2D"/>
          <w:sz w:val="22"/>
          <w:szCs w:val="22"/>
        </w:rPr>
        <w:t xml:space="preserve">Abstraction layers: </w:t>
      </w:r>
      <w:r>
        <w:rPr>
          <w:rFonts w:ascii="Calibri" w:cs="Calibri" w:eastAsia="Calibri" w:hAnsi="Calibri"/>
          <w:color w:val="2D2D2D"/>
          <w:sz w:val="22"/>
          <w:szCs w:val="22"/>
        </w:rPr>
        <w:t xml:space="preserve">Wrap AI integrations behind interfaces that allow the provider to be changed without rewriting the test framework.</w:t>
      </w:r>
    </w:p>
    <w:p>
      <w:pPr>
        <w:pStyle w:val="ListParagraph"/>
        <w:numPr>
          <w:ilvl w:val="0"/>
          <w:numId w:val="2"/>
        </w:numPr>
        <w:spacing w:after="80" w:line="300"/>
      </w:pPr>
      <w:r>
        <w:rPr>
          <w:rFonts w:ascii="Calibri" w:cs="Calibri" w:eastAsia="Calibri" w:hAnsi="Calibri"/>
          <w:b/>
          <w:bCs/>
          <w:color w:val="2D2D2D"/>
          <w:sz w:val="22"/>
          <w:szCs w:val="22"/>
        </w:rPr>
        <w:t xml:space="preserve">Documented fallbacks: </w:t>
      </w:r>
      <w:r>
        <w:rPr>
          <w:rFonts w:ascii="Calibri" w:cs="Calibri" w:eastAsia="Calibri" w:hAnsi="Calibri"/>
          <w:color w:val="2D2D2D"/>
          <w:sz w:val="22"/>
          <w:szCs w:val="22"/>
        </w:rPr>
        <w:t xml:space="preserve">Every AI-dependent process should have a documented manual alternative.</w:t>
      </w:r>
    </w:p>
    <w:p>
      <w:pPr>
        <w:pStyle w:val="ListParagraph"/>
        <w:numPr>
          <w:ilvl w:val="0"/>
          <w:numId w:val="2"/>
        </w:numPr>
        <w:spacing w:after="80" w:line="300"/>
      </w:pPr>
      <w:r>
        <w:rPr>
          <w:rFonts w:ascii="Calibri" w:cs="Calibri" w:eastAsia="Calibri" w:hAnsi="Calibri"/>
          <w:b/>
          <w:bCs/>
          <w:color w:val="2D2D2D"/>
          <w:sz w:val="22"/>
          <w:szCs w:val="22"/>
        </w:rPr>
        <w:t xml:space="preserve">Multi-vendor awareness: </w:t>
      </w:r>
      <w:r>
        <w:rPr>
          <w:rFonts w:ascii="Calibri" w:cs="Calibri" w:eastAsia="Calibri" w:hAnsi="Calibri"/>
          <w:color w:val="2D2D2D"/>
          <w:sz w:val="22"/>
          <w:szCs w:val="22"/>
        </w:rPr>
        <w:t xml:space="preserve">Maintain familiarity with at least two AI providers for each critical function.</w:t>
      </w:r>
    </w:p>
    <w:p>
      <w:pPr>
        <w:pStyle w:val="Heading2"/>
        <w:spacing w:before="360" w:after="160"/>
      </w:pPr>
      <w:r>
        <w:rPr>
          <w:rFonts w:ascii="Georgia" w:cs="Georgia" w:eastAsia="Georgia" w:hAnsi="Georgia"/>
          <w:b/>
          <w:bCs/>
          <w:color w:val="2E75B6"/>
          <w:sz w:val="27"/>
          <w:szCs w:val="27"/>
        </w:rPr>
        <w:t xml:space="preserve">10.3 Non-Determinism</w:t>
      </w:r>
    </w:p>
    <w:p>
      <w:pPr>
        <w:spacing w:after="160" w:line="300"/>
      </w:pPr>
      <w:r>
        <w:rPr>
          <w:rFonts w:ascii="Calibri" w:cs="Calibri" w:eastAsia="Calibri" w:hAnsi="Calibri"/>
          <w:color w:val="2D2D2D"/>
          <w:sz w:val="22"/>
          <w:szCs w:val="22"/>
        </w:rPr>
        <w:t xml:space="preserve">AI can introduce variability into processes that are traditionally deterministic. When we adopt AI for test generation or data creation, stability measures will be needed.</w:t>
      </w:r>
    </w:p>
    <w:p>
      <w:pPr>
        <w:pStyle w:val="ListParagraph"/>
        <w:numPr>
          <w:ilvl w:val="0"/>
          <w:numId w:val="2"/>
        </w:numPr>
        <w:spacing w:after="80" w:line="300"/>
      </w:pPr>
      <w:r>
        <w:rPr>
          <w:rFonts w:ascii="Calibri" w:cs="Calibri" w:eastAsia="Calibri" w:hAnsi="Calibri"/>
          <w:b/>
          <w:bCs/>
          <w:color w:val="2D2D2D"/>
          <w:sz w:val="22"/>
          <w:szCs w:val="22"/>
        </w:rPr>
        <w:t xml:space="preserve">Set temperature to zero: </w:t>
      </w:r>
      <w:r>
        <w:rPr>
          <w:rFonts w:ascii="Calibri" w:cs="Calibri" w:eastAsia="Calibri" w:hAnsi="Calibri"/>
          <w:color w:val="2D2D2D"/>
          <w:sz w:val="22"/>
          <w:szCs w:val="22"/>
        </w:rPr>
        <w:t xml:space="preserve">For reproducible outputs, eliminate model randomness where the API permits it.</w:t>
      </w:r>
    </w:p>
    <w:p>
      <w:pPr>
        <w:pStyle w:val="ListParagraph"/>
        <w:numPr>
          <w:ilvl w:val="0"/>
          <w:numId w:val="2"/>
        </w:numPr>
        <w:spacing w:after="80" w:line="300"/>
      </w:pPr>
      <w:r>
        <w:rPr>
          <w:rFonts w:ascii="Calibri" w:cs="Calibri" w:eastAsia="Calibri" w:hAnsi="Calibri"/>
          <w:b/>
          <w:bCs/>
          <w:color w:val="2D2D2D"/>
          <w:sz w:val="22"/>
          <w:szCs w:val="22"/>
        </w:rPr>
        <w:t xml:space="preserve">Pin model versions: </w:t>
      </w:r>
      <w:r>
        <w:rPr>
          <w:rFonts w:ascii="Calibri" w:cs="Calibri" w:eastAsia="Calibri" w:hAnsi="Calibri"/>
          <w:color w:val="2D2D2D"/>
          <w:sz w:val="22"/>
          <w:szCs w:val="22"/>
        </w:rPr>
        <w:t xml:space="preserve">Lock model versions in CI/CD configurations to prevent unexpected output changes when providers update their models.</w:t>
      </w:r>
    </w:p>
    <w:p>
      <w:pPr>
        <w:pStyle w:val="ListParagraph"/>
        <w:numPr>
          <w:ilvl w:val="0"/>
          <w:numId w:val="2"/>
        </w:numPr>
        <w:spacing w:after="80" w:line="300"/>
      </w:pPr>
      <w:r>
        <w:rPr>
          <w:rFonts w:ascii="Calibri" w:cs="Calibri" w:eastAsia="Calibri" w:hAnsi="Calibri"/>
          <w:b/>
          <w:bCs/>
          <w:color w:val="2D2D2D"/>
          <w:sz w:val="22"/>
          <w:szCs w:val="22"/>
        </w:rPr>
        <w:t xml:space="preserve">Seed randomness: </w:t>
      </w:r>
      <w:r>
        <w:rPr>
          <w:rFonts w:ascii="Calibri" w:cs="Calibri" w:eastAsia="Calibri" w:hAnsi="Calibri"/>
          <w:color w:val="2D2D2D"/>
          <w:sz w:val="22"/>
          <w:szCs w:val="22"/>
        </w:rPr>
        <w:t xml:space="preserve">For AI-driven data generation, use fixed seeds to ensure reproducibility.</w:t>
      </w:r>
    </w:p>
    <w:p>
      <w:pPr>
        <w:pStyle w:val="Heading2"/>
        <w:spacing w:before="360" w:after="160"/>
      </w:pPr>
      <w:r>
        <w:rPr>
          <w:rFonts w:ascii="Georgia" w:cs="Georgia" w:eastAsia="Georgia" w:hAnsi="Georgia"/>
          <w:b/>
          <w:bCs/>
          <w:color w:val="2E75B6"/>
          <w:sz w:val="27"/>
          <w:szCs w:val="27"/>
        </w:rPr>
        <w:t xml:space="preserve">10.4 Cost Management</w:t>
      </w:r>
    </w:p>
    <w:p>
      <w:pPr>
        <w:spacing w:after="160" w:line="300"/>
      </w:pPr>
      <w:r>
        <w:rPr>
          <w:rFonts w:ascii="Calibri" w:cs="Calibri" w:eastAsia="Calibri" w:hAnsi="Calibri"/>
          <w:color w:val="2D2D2D"/>
          <w:sz w:val="22"/>
          <w:szCs w:val="22"/>
        </w:rPr>
        <w:t xml:space="preserve">AI API calls carry per-request costs. A test generation pipeline that makes thousands of calls per CI run can create unexpected expenditure. Set spending limits, monitor usage, and cache outputs where fresh generation is not needed.</w:t>
      </w:r>
    </w:p>
    <w:p>
      <w:r>
        <w:br w:type="page"/>
      </w:r>
    </w:p>
    <w:p>
      <w:pPr>
        <w:pStyle w:val="Heading1"/>
        <w:spacing w:before="480" w:after="200"/>
      </w:pPr>
      <w:r>
        <w:rPr>
          <w:rFonts w:ascii="Georgia" w:cs="Georgia" w:eastAsia="Georgia" w:hAnsi="Georgia"/>
          <w:b/>
          <w:bCs/>
          <w:color w:val="1B2A4A"/>
          <w:sz w:val="34"/>
          <w:szCs w:val="34"/>
        </w:rPr>
        <w:t xml:space="preserve">11. Compliance and Regulatory Alignment</w:t>
      </w:r>
    </w:p>
    <w:p>
      <w:pPr>
        <w:spacing w:after="160" w:line="300"/>
      </w:pPr>
      <w:r>
        <w:rPr>
          <w:rFonts w:ascii="Calibri" w:cs="Calibri" w:eastAsia="Calibri" w:hAnsi="Calibri"/>
          <w:color w:val="2D2D2D"/>
          <w:sz w:val="22"/>
          <w:szCs w:val="22"/>
        </w:rPr>
        <w:t xml:space="preserve">Regulatory requirements around AI are developing quickly. As a testing services company serving government and private sector clients, we need to stay ahead of these requirements so that our practices are ready when client expectations formalise.</w:t>
      </w:r>
    </w:p>
    <w:p>
      <w:pPr>
        <w:pStyle w:val="Heading2"/>
        <w:spacing w:before="360" w:after="160"/>
      </w:pPr>
      <w:r>
        <w:rPr>
          <w:rFonts w:ascii="Georgia" w:cs="Georgia" w:eastAsia="Georgia" w:hAnsi="Georgia"/>
          <w:b/>
          <w:bCs/>
          <w:color w:val="2E75B6"/>
          <w:sz w:val="27"/>
          <w:szCs w:val="27"/>
        </w:rPr>
        <w:t xml:space="preserve">11.1 The EU AI 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63"/>
        <w:gridCol w:w="4263"/>
      </w:tblGrid>
      <w:tr>
        <w:trPr>
          <w:tblHeader/>
        </w:trPr>
        <w:tc>
          <w:tcPr>
            <w:tcW w:type="dxa" w:w="1500"/>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Risk Level</w:t>
            </w:r>
          </w:p>
        </w:tc>
        <w:tc>
          <w:tcPr>
            <w:tcW w:type="dxa" w:w="3263"/>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Examples</w:t>
            </w:r>
          </w:p>
        </w:tc>
        <w:tc>
          <w:tcPr>
            <w:tcW w:type="dxa" w:w="4263"/>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What This Means for Our Testing</w:t>
            </w:r>
          </w:p>
        </w:tc>
      </w:tr>
      <w:tr>
        <w:tc>
          <w:tcPr>
            <w:tcW w:type="dxa" w:w="15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Unacceptable</w:t>
            </w:r>
          </w:p>
        </w:tc>
        <w:tc>
          <w:tcPr>
            <w:tcW w:type="dxa" w:w="326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Social scoring, real-time biometric surveillance</w:t>
            </w:r>
          </w:p>
        </w:tc>
        <w:tc>
          <w:tcPr>
            <w:tcW w:type="dxa" w:w="426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Cannot be deployed in the EU. If encountered in a client engagement, escalate immediately.</w:t>
            </w:r>
          </w:p>
        </w:tc>
      </w:tr>
      <w:tr>
        <w:tc>
          <w:tcPr>
            <w:tcW w:type="dxa" w:w="15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High Risk</w:t>
            </w:r>
          </w:p>
        </w:tc>
        <w:tc>
          <w:tcPr>
            <w:tcW w:type="dxa" w:w="326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AI in healthcare, finance, education, employment, public services, law enforcement</w:t>
            </w:r>
          </w:p>
        </w:tc>
        <w:tc>
          <w:tcPr>
            <w:tcW w:type="dxa" w:w="426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Mandatory conformity assessments. Documented test methodology. Bias testing required. Audit trails mandatory. Many government AI features will fall into this category.</w:t>
            </w:r>
          </w:p>
        </w:tc>
      </w:tr>
      <w:tr>
        <w:tc>
          <w:tcPr>
            <w:tcW w:type="dxa" w:w="15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Limited Risk</w:t>
            </w:r>
          </w:p>
        </w:tc>
        <w:tc>
          <w:tcPr>
            <w:tcW w:type="dxa" w:w="326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Chatbots, content generation tools</w:t>
            </w:r>
          </w:p>
        </w:tc>
        <w:tc>
          <w:tcPr>
            <w:tcW w:type="dxa" w:w="426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Transparency requirements. Users must know they are interacting with AI.</w:t>
            </w:r>
          </w:p>
        </w:tc>
      </w:tr>
      <w:tr>
        <w:tc>
          <w:tcPr>
            <w:tcW w:type="dxa" w:w="15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Minimal Risk</w:t>
            </w:r>
          </w:p>
        </w:tc>
        <w:tc>
          <w:tcPr>
            <w:tcW w:type="dxa" w:w="326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Spam filters, recommendation engines</w:t>
            </w:r>
          </w:p>
        </w:tc>
        <w:tc>
          <w:tcPr>
            <w:tcW w:type="dxa" w:w="426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No specific regulatory requirements, but best practices still apply.</w:t>
            </w:r>
          </w:p>
        </w:tc>
      </w:tr>
    </w:tbl>
    <w:p>
      <w:pPr>
        <w:spacing w:after="100"/>
      </w:pPr>
    </w:p>
    <w:p>
      <w:pPr>
        <w:pStyle w:val="Heading2"/>
        <w:spacing w:before="360" w:after="160"/>
      </w:pPr>
      <w:r>
        <w:rPr>
          <w:rFonts w:ascii="Georgia" w:cs="Georgia" w:eastAsia="Georgia" w:hAnsi="Georgia"/>
          <w:b/>
          <w:bCs/>
          <w:color w:val="2E75B6"/>
          <w:sz w:val="27"/>
          <w:szCs w:val="27"/>
        </w:rPr>
        <w:t xml:space="preserve">11.2 UK-Specific Considerations</w:t>
      </w:r>
    </w:p>
    <w:p>
      <w:pPr>
        <w:pStyle w:val="ListParagraph"/>
        <w:numPr>
          <w:ilvl w:val="0"/>
          <w:numId w:val="2"/>
        </w:numPr>
        <w:spacing w:after="80" w:line="300"/>
      </w:pPr>
      <w:r>
        <w:rPr>
          <w:rFonts w:ascii="Calibri" w:cs="Calibri" w:eastAsia="Calibri" w:hAnsi="Calibri"/>
          <w:b/>
          <w:bCs/>
          <w:color w:val="2D2D2D"/>
          <w:sz w:val="22"/>
          <w:szCs w:val="22"/>
        </w:rPr>
        <w:t xml:space="preserve">UK Government AI Framework: </w:t>
      </w:r>
      <w:r>
        <w:rPr>
          <w:rFonts w:ascii="Calibri" w:cs="Calibri" w:eastAsia="Calibri" w:hAnsi="Calibri"/>
          <w:color w:val="2D2D2D"/>
          <w:sz w:val="22"/>
          <w:szCs w:val="22"/>
        </w:rPr>
        <w:t xml:space="preserve">The UK government has published guidance on the responsible use of AI in public services. When testing AI features for government clients, our approach should align with this framework.</w:t>
      </w:r>
    </w:p>
    <w:p>
      <w:pPr>
        <w:pStyle w:val="ListParagraph"/>
        <w:numPr>
          <w:ilvl w:val="0"/>
          <w:numId w:val="2"/>
        </w:numPr>
        <w:spacing w:after="80" w:line="300"/>
      </w:pPr>
      <w:r>
        <w:rPr>
          <w:rFonts w:ascii="Calibri" w:cs="Calibri" w:eastAsia="Calibri" w:hAnsi="Calibri"/>
          <w:b/>
          <w:bCs/>
          <w:color w:val="2D2D2D"/>
          <w:sz w:val="22"/>
          <w:szCs w:val="22"/>
        </w:rPr>
        <w:t xml:space="preserve">Algorithmic Transparency Recording Standard: </w:t>
      </w:r>
      <w:r>
        <w:rPr>
          <w:rFonts w:ascii="Calibri" w:cs="Calibri" w:eastAsia="Calibri" w:hAnsi="Calibri"/>
          <w:color w:val="2D2D2D"/>
          <w:sz w:val="22"/>
          <w:szCs w:val="22"/>
        </w:rPr>
        <w:t xml:space="preserve">Government departments using algorithmic tools may be required to publish transparency records. Our test documentation may need to support this requirement.</w:t>
      </w:r>
    </w:p>
    <w:p>
      <w:pPr>
        <w:pStyle w:val="ListParagraph"/>
        <w:numPr>
          <w:ilvl w:val="0"/>
          <w:numId w:val="2"/>
        </w:numPr>
        <w:spacing w:after="80" w:line="300"/>
      </w:pPr>
      <w:r>
        <w:rPr>
          <w:rFonts w:ascii="Calibri" w:cs="Calibri" w:eastAsia="Calibri" w:hAnsi="Calibri"/>
          <w:b/>
          <w:bCs/>
          <w:color w:val="2D2D2D"/>
          <w:sz w:val="22"/>
          <w:szCs w:val="22"/>
        </w:rPr>
        <w:t xml:space="preserve">Public Sector Equality Duty: </w:t>
      </w:r>
      <w:r>
        <w:rPr>
          <w:rFonts w:ascii="Calibri" w:cs="Calibri" w:eastAsia="Calibri" w:hAnsi="Calibri"/>
          <w:color w:val="2D2D2D"/>
          <w:sz w:val="22"/>
          <w:szCs w:val="22"/>
        </w:rPr>
        <w:t xml:space="preserve">Under the Equality Act 2010, public bodies must consider the impact of their policies on protected groups. AI features in government services must be tested for compliance with this duty.</w:t>
      </w:r>
    </w:p>
    <w:p>
      <w:pPr>
        <w:pStyle w:val="ListParagraph"/>
        <w:numPr>
          <w:ilvl w:val="0"/>
          <w:numId w:val="2"/>
        </w:numPr>
        <w:spacing w:after="80" w:line="300"/>
      </w:pPr>
      <w:r>
        <w:rPr>
          <w:rFonts w:ascii="Calibri" w:cs="Calibri" w:eastAsia="Calibri" w:hAnsi="Calibri"/>
          <w:b/>
          <w:bCs/>
          <w:color w:val="2D2D2D"/>
          <w:sz w:val="22"/>
          <w:szCs w:val="22"/>
        </w:rPr>
        <w:t xml:space="preserve">Data Ethics Framework: </w:t>
      </w:r>
      <w:r>
        <w:rPr>
          <w:rFonts w:ascii="Calibri" w:cs="Calibri" w:eastAsia="Calibri" w:hAnsi="Calibri"/>
          <w:color w:val="2D2D2D"/>
          <w:sz w:val="22"/>
          <w:szCs w:val="22"/>
        </w:rPr>
        <w:t xml:space="preserve">The UK government’s Data Ethics Framework applies to the use of data in public services, including AI-processed data. Our data handling practices must align.</w:t>
      </w:r>
    </w:p>
    <w:p>
      <w:pPr>
        <w:pStyle w:val="Heading2"/>
        <w:spacing w:before="360" w:after="160"/>
      </w:pPr>
      <w:r>
        <w:rPr>
          <w:rFonts w:ascii="Georgia" w:cs="Georgia" w:eastAsia="Georgia" w:hAnsi="Georgia"/>
          <w:b/>
          <w:bCs/>
          <w:color w:val="2E75B6"/>
          <w:sz w:val="27"/>
          <w:szCs w:val="27"/>
        </w:rPr>
        <w:t xml:space="preserve">11.3 Industry-Specific Requirements</w:t>
      </w:r>
    </w:p>
    <w:p>
      <w:pPr>
        <w:pStyle w:val="ListParagraph"/>
        <w:numPr>
          <w:ilvl w:val="0"/>
          <w:numId w:val="2"/>
        </w:numPr>
        <w:spacing w:after="80" w:line="300"/>
      </w:pPr>
      <w:r>
        <w:rPr>
          <w:rFonts w:ascii="Calibri" w:cs="Calibri" w:eastAsia="Calibri" w:hAnsi="Calibri"/>
          <w:b/>
          <w:bCs/>
          <w:color w:val="2D2D2D"/>
          <w:sz w:val="22"/>
          <w:szCs w:val="22"/>
        </w:rPr>
        <w:t xml:space="preserve">Financial Services: </w:t>
      </w:r>
      <w:r>
        <w:rPr>
          <w:rFonts w:ascii="Calibri" w:cs="Calibri" w:eastAsia="Calibri" w:hAnsi="Calibri"/>
          <w:color w:val="2D2D2D"/>
          <w:sz w:val="22"/>
          <w:szCs w:val="22"/>
        </w:rPr>
        <w:t xml:space="preserve">Model risk management regulations require independent model validation. Our testing may need to demonstrate independence from the development team.</w:t>
      </w:r>
    </w:p>
    <w:p>
      <w:pPr>
        <w:pStyle w:val="ListParagraph"/>
        <w:numPr>
          <w:ilvl w:val="0"/>
          <w:numId w:val="2"/>
        </w:numPr>
        <w:spacing w:after="80" w:line="300"/>
      </w:pPr>
      <w:r>
        <w:rPr>
          <w:rFonts w:ascii="Calibri" w:cs="Calibri" w:eastAsia="Calibri" w:hAnsi="Calibri"/>
          <w:b/>
          <w:bCs/>
          <w:color w:val="2D2D2D"/>
          <w:sz w:val="22"/>
          <w:szCs w:val="22"/>
        </w:rPr>
        <w:t xml:space="preserve">Healthcare: </w:t>
      </w:r>
      <w:r>
        <w:rPr>
          <w:rFonts w:ascii="Calibri" w:cs="Calibri" w:eastAsia="Calibri" w:hAnsi="Calibri"/>
          <w:color w:val="2D2D2D"/>
          <w:sz w:val="22"/>
          <w:szCs w:val="22"/>
        </w:rPr>
        <w:t xml:space="preserve">AI classified as a medical device may require MHRA approval. Test documentation becomes part of the regulatory submission.</w:t>
      </w:r>
    </w:p>
    <w:p>
      <w:pPr>
        <w:pStyle w:val="ListParagraph"/>
        <w:numPr>
          <w:ilvl w:val="0"/>
          <w:numId w:val="2"/>
        </w:numPr>
        <w:spacing w:after="80" w:line="300"/>
      </w:pPr>
      <w:r>
        <w:rPr>
          <w:rFonts w:ascii="Calibri" w:cs="Calibri" w:eastAsia="Calibri" w:hAnsi="Calibri"/>
          <w:b/>
          <w:bCs/>
          <w:color w:val="2D2D2D"/>
          <w:sz w:val="22"/>
          <w:szCs w:val="22"/>
        </w:rPr>
        <w:t xml:space="preserve">Insurance: </w:t>
      </w:r>
      <w:r>
        <w:rPr>
          <w:rFonts w:ascii="Calibri" w:cs="Calibri" w:eastAsia="Calibri" w:hAnsi="Calibri"/>
          <w:color w:val="2D2D2D"/>
          <w:sz w:val="22"/>
          <w:szCs w:val="22"/>
        </w:rPr>
        <w:t xml:space="preserve">AI-driven underwriting decisions must not discriminate. Testing for disparate impact is a regulatory expectation.</w:t>
      </w:r>
    </w:p>
    <w:p>
      <w:r>
        <w:br w:type="page"/>
      </w:r>
    </w:p>
    <w:p>
      <w:pPr>
        <w:pStyle w:val="Heading1"/>
        <w:spacing w:before="480" w:after="200"/>
      </w:pPr>
      <w:r>
        <w:rPr>
          <w:rFonts w:ascii="Georgia" w:cs="Georgia" w:eastAsia="Georgia" w:hAnsi="Georgia"/>
          <w:b/>
          <w:bCs/>
          <w:color w:val="1B2A4A"/>
          <w:sz w:val="34"/>
          <w:szCs w:val="34"/>
        </w:rPr>
        <w:t xml:space="preserve">12. Governance and Accountability</w:t>
      </w:r>
    </w:p>
    <w:p>
      <w:pPr>
        <w:pStyle w:val="Heading2"/>
        <w:spacing w:before="360" w:after="160"/>
      </w:pPr>
      <w:r>
        <w:rPr>
          <w:rFonts w:ascii="Georgia" w:cs="Georgia" w:eastAsia="Georgia" w:hAnsi="Georgia"/>
          <w:b/>
          <w:bCs/>
          <w:color w:val="2E75B6"/>
          <w:sz w:val="27"/>
          <w:szCs w:val="27"/>
        </w:rPr>
        <w:t xml:space="preserve">12.1 Governance Framework</w:t>
      </w:r>
    </w:p>
    <w:p>
      <w:pPr>
        <w:spacing w:after="160" w:line="300"/>
      </w:pPr>
      <w:r>
        <w:rPr>
          <w:rFonts w:ascii="Calibri" w:cs="Calibri" w:eastAsia="Calibri" w:hAnsi="Calibri"/>
          <w:color w:val="2D2D2D"/>
          <w:sz w:val="22"/>
          <w:szCs w:val="22"/>
        </w:rPr>
        <w:t xml:space="preserve">As AI adoption increases, we need a governance framework that scales with it. The following structure should be established now and refined as our use of AI matures.</w:t>
      </w:r>
    </w:p>
    <w:p>
      <w:pPr>
        <w:pStyle w:val="Heading3"/>
        <w:spacing w:before="240" w:after="120"/>
      </w:pPr>
      <w:r>
        <w:rPr>
          <w:rFonts w:ascii="Georgia" w:cs="Georgia" w:eastAsia="Georgia" w:hAnsi="Georgia"/>
          <w:b/>
          <w:bCs/>
          <w:color w:val="1B2A4A"/>
          <w:sz w:val="23"/>
          <w:szCs w:val="23"/>
        </w:rPr>
        <w:t xml:space="preserve">Policy</w:t>
      </w:r>
    </w:p>
    <w:p>
      <w:pPr>
        <w:pStyle w:val="ListParagraph"/>
        <w:numPr>
          <w:ilvl w:val="0"/>
          <w:numId w:val="2"/>
        </w:numPr>
        <w:spacing w:after="80" w:line="300"/>
      </w:pPr>
      <w:r>
        <w:rPr>
          <w:rFonts w:ascii="Calibri" w:cs="Calibri" w:eastAsia="Calibri" w:hAnsi="Calibri"/>
          <w:color w:val="2D2D2D"/>
          <w:sz w:val="22"/>
          <w:szCs w:val="22"/>
        </w:rPr>
        <w:t xml:space="preserve">Approved AI tools register with data classification boundaries for each tool.</w:t>
      </w:r>
    </w:p>
    <w:p>
      <w:pPr>
        <w:pStyle w:val="ListParagraph"/>
        <w:numPr>
          <w:ilvl w:val="0"/>
          <w:numId w:val="2"/>
        </w:numPr>
        <w:spacing w:after="80" w:line="300"/>
      </w:pPr>
      <w:r>
        <w:rPr>
          <w:rFonts w:ascii="Calibri" w:cs="Calibri" w:eastAsia="Calibri" w:hAnsi="Calibri"/>
          <w:color w:val="2D2D2D"/>
          <w:sz w:val="22"/>
          <w:szCs w:val="22"/>
        </w:rPr>
        <w:t xml:space="preserve">Clear list of prohibited uses.</w:t>
      </w:r>
    </w:p>
    <w:p>
      <w:pPr>
        <w:pStyle w:val="ListParagraph"/>
        <w:numPr>
          <w:ilvl w:val="0"/>
          <w:numId w:val="2"/>
        </w:numPr>
        <w:spacing w:after="80" w:line="300"/>
      </w:pPr>
      <w:r>
        <w:rPr>
          <w:rFonts w:ascii="Calibri" w:cs="Calibri" w:eastAsia="Calibri" w:hAnsi="Calibri"/>
          <w:color w:val="2D2D2D"/>
          <w:sz w:val="22"/>
          <w:szCs w:val="22"/>
        </w:rPr>
        <w:t xml:space="preserve">Client disclosure requirements for AI tool usage on engagements.</w:t>
      </w:r>
    </w:p>
    <w:p>
      <w:pPr>
        <w:pStyle w:val="ListParagraph"/>
        <w:numPr>
          <w:ilvl w:val="0"/>
          <w:numId w:val="2"/>
        </w:numPr>
        <w:spacing w:after="80" w:line="300"/>
      </w:pPr>
      <w:r>
        <w:rPr>
          <w:rFonts w:ascii="Calibri" w:cs="Calibri" w:eastAsia="Calibri" w:hAnsi="Calibri"/>
          <w:color w:val="2D2D2D"/>
          <w:sz w:val="22"/>
          <w:szCs w:val="22"/>
        </w:rPr>
        <w:t xml:space="preserve">IP handling rules for AI-generated deliverables.</w:t>
      </w:r>
    </w:p>
    <w:p>
      <w:pPr>
        <w:pStyle w:val="Heading3"/>
        <w:spacing w:before="240" w:after="120"/>
      </w:pPr>
      <w:r>
        <w:rPr>
          <w:rFonts w:ascii="Georgia" w:cs="Georgia" w:eastAsia="Georgia" w:hAnsi="Georgia"/>
          <w:b/>
          <w:bCs/>
          <w:color w:val="1B2A4A"/>
          <w:sz w:val="23"/>
          <w:szCs w:val="23"/>
        </w:rPr>
        <w:t xml:space="preserve">Process</w:t>
      </w:r>
    </w:p>
    <w:p>
      <w:pPr>
        <w:pStyle w:val="ListParagraph"/>
        <w:numPr>
          <w:ilvl w:val="0"/>
          <w:numId w:val="2"/>
        </w:numPr>
        <w:spacing w:after="80" w:line="300"/>
      </w:pPr>
      <w:r>
        <w:rPr>
          <w:rFonts w:ascii="Calibri" w:cs="Calibri" w:eastAsia="Calibri" w:hAnsi="Calibri"/>
          <w:color w:val="2D2D2D"/>
          <w:sz w:val="22"/>
          <w:szCs w:val="22"/>
        </w:rPr>
        <w:t xml:space="preserve">AI tool onboarding procedure: security review, data assessment, legal review, approval.</w:t>
      </w:r>
    </w:p>
    <w:p>
      <w:pPr>
        <w:pStyle w:val="ListParagraph"/>
        <w:numPr>
          <w:ilvl w:val="0"/>
          <w:numId w:val="2"/>
        </w:numPr>
        <w:spacing w:after="80" w:line="300"/>
      </w:pPr>
      <w:r>
        <w:rPr>
          <w:rFonts w:ascii="Calibri" w:cs="Calibri" w:eastAsia="Calibri" w:hAnsi="Calibri"/>
          <w:color w:val="2D2D2D"/>
          <w:sz w:val="22"/>
          <w:szCs w:val="22"/>
        </w:rPr>
        <w:t xml:space="preserve">Periodic access audits for AI tool accounts.</w:t>
      </w:r>
    </w:p>
    <w:p>
      <w:pPr>
        <w:pStyle w:val="ListParagraph"/>
        <w:numPr>
          <w:ilvl w:val="0"/>
          <w:numId w:val="2"/>
        </w:numPr>
        <w:spacing w:after="80" w:line="300"/>
      </w:pPr>
      <w:r>
        <w:rPr>
          <w:rFonts w:ascii="Calibri" w:cs="Calibri" w:eastAsia="Calibri" w:hAnsi="Calibri"/>
          <w:color w:val="2D2D2D"/>
          <w:sz w:val="22"/>
          <w:szCs w:val="22"/>
        </w:rPr>
        <w:t xml:space="preserve">Incident response procedures covering AI-related events.</w:t>
      </w:r>
    </w:p>
    <w:p>
      <w:pPr>
        <w:pStyle w:val="ListParagraph"/>
        <w:numPr>
          <w:ilvl w:val="0"/>
          <w:numId w:val="2"/>
        </w:numPr>
        <w:spacing w:after="80" w:line="300"/>
      </w:pPr>
      <w:r>
        <w:rPr>
          <w:rFonts w:ascii="Calibri" w:cs="Calibri" w:eastAsia="Calibri" w:hAnsi="Calibri"/>
          <w:color w:val="2D2D2D"/>
          <w:sz w:val="22"/>
          <w:szCs w:val="22"/>
        </w:rPr>
        <w:t xml:space="preserve">Change management for AI tool updates and model version changes.</w:t>
      </w:r>
    </w:p>
    <w:p>
      <w:pPr>
        <w:pStyle w:val="Heading3"/>
        <w:spacing w:before="240" w:after="120"/>
      </w:pPr>
      <w:r>
        <w:rPr>
          <w:rFonts w:ascii="Georgia" w:cs="Georgia" w:eastAsia="Georgia" w:hAnsi="Georgia"/>
          <w:b/>
          <w:bCs/>
          <w:color w:val="1B2A4A"/>
          <w:sz w:val="23"/>
          <w:szCs w:val="23"/>
        </w:rPr>
        <w:t xml:space="preserve">People</w:t>
      </w:r>
    </w:p>
    <w:p>
      <w:pPr>
        <w:pStyle w:val="ListParagraph"/>
        <w:numPr>
          <w:ilvl w:val="0"/>
          <w:numId w:val="2"/>
        </w:numPr>
        <w:spacing w:after="80" w:line="300"/>
      </w:pPr>
      <w:r>
        <w:rPr>
          <w:rFonts w:ascii="Calibri" w:cs="Calibri" w:eastAsia="Calibri" w:hAnsi="Calibri"/>
          <w:color w:val="2D2D2D"/>
          <w:sz w:val="22"/>
          <w:szCs w:val="22"/>
        </w:rPr>
        <w:t xml:space="preserve">AI security awareness training at onboarding, with annual refreshers.</w:t>
      </w:r>
    </w:p>
    <w:p>
      <w:pPr>
        <w:pStyle w:val="ListParagraph"/>
        <w:numPr>
          <w:ilvl w:val="0"/>
          <w:numId w:val="2"/>
        </w:numPr>
        <w:spacing w:after="80" w:line="300"/>
      </w:pPr>
      <w:r>
        <w:rPr>
          <w:rFonts w:ascii="Calibri" w:cs="Calibri" w:eastAsia="Calibri" w:hAnsi="Calibri"/>
          <w:color w:val="2D2D2D"/>
          <w:sz w:val="22"/>
          <w:szCs w:val="22"/>
        </w:rPr>
        <w:t xml:space="preserve">Designated AI leads per team who maintain current knowledge of tools and risks.</w:t>
      </w:r>
    </w:p>
    <w:p>
      <w:pPr>
        <w:pStyle w:val="ListParagraph"/>
        <w:numPr>
          <w:ilvl w:val="0"/>
          <w:numId w:val="2"/>
        </w:numPr>
        <w:spacing w:after="80" w:line="300"/>
      </w:pPr>
      <w:r>
        <w:rPr>
          <w:rFonts w:ascii="Calibri" w:cs="Calibri" w:eastAsia="Calibri" w:hAnsi="Calibri"/>
          <w:color w:val="2D2D2D"/>
          <w:sz w:val="22"/>
          <w:szCs w:val="22"/>
        </w:rPr>
        <w:t xml:space="preserve">Clear escalation paths for AI-related concerns.</w:t>
      </w:r>
    </w:p>
    <w:p>
      <w:pPr>
        <w:pStyle w:val="ListParagraph"/>
        <w:numPr>
          <w:ilvl w:val="0"/>
          <w:numId w:val="2"/>
        </w:numPr>
        <w:spacing w:after="80" w:line="300"/>
      </w:pPr>
      <w:r>
        <w:rPr>
          <w:rFonts w:ascii="Calibri" w:cs="Calibri" w:eastAsia="Calibri" w:hAnsi="Calibri"/>
          <w:color w:val="2D2D2D"/>
          <w:sz w:val="22"/>
          <w:szCs w:val="22"/>
        </w:rPr>
        <w:t xml:space="preserve">Skills development plans that prevent over-reliance.</w:t>
      </w:r>
    </w:p>
    <w:p>
      <w:pPr>
        <w:pStyle w:val="Heading3"/>
        <w:spacing w:before="240" w:after="120"/>
      </w:pPr>
      <w:r>
        <w:rPr>
          <w:rFonts w:ascii="Georgia" w:cs="Georgia" w:eastAsia="Georgia" w:hAnsi="Georgia"/>
          <w:b/>
          <w:bCs/>
          <w:color w:val="1B2A4A"/>
          <w:sz w:val="23"/>
          <w:szCs w:val="23"/>
        </w:rPr>
        <w:t xml:space="preserve">Technology</w:t>
      </w:r>
    </w:p>
    <w:p>
      <w:pPr>
        <w:pStyle w:val="ListParagraph"/>
        <w:numPr>
          <w:ilvl w:val="0"/>
          <w:numId w:val="2"/>
        </w:numPr>
        <w:spacing w:after="80" w:line="300"/>
      </w:pPr>
      <w:r>
        <w:rPr>
          <w:rFonts w:ascii="Calibri" w:cs="Calibri" w:eastAsia="Calibri" w:hAnsi="Calibri"/>
          <w:color w:val="2D2D2D"/>
          <w:sz w:val="22"/>
          <w:szCs w:val="22"/>
        </w:rPr>
        <w:t xml:space="preserve">DLP controls on outbound data to AI services.</w:t>
      </w:r>
    </w:p>
    <w:p>
      <w:pPr>
        <w:pStyle w:val="ListParagraph"/>
        <w:numPr>
          <w:ilvl w:val="0"/>
          <w:numId w:val="2"/>
        </w:numPr>
        <w:spacing w:after="80" w:line="300"/>
      </w:pPr>
      <w:r>
        <w:rPr>
          <w:rFonts w:ascii="Calibri" w:cs="Calibri" w:eastAsia="Calibri" w:hAnsi="Calibri"/>
          <w:color w:val="2D2D2D"/>
          <w:sz w:val="22"/>
          <w:szCs w:val="22"/>
        </w:rPr>
        <w:t xml:space="preserve">Logging and monitoring of AI tool usage.</w:t>
      </w:r>
    </w:p>
    <w:p>
      <w:pPr>
        <w:pStyle w:val="ListParagraph"/>
        <w:numPr>
          <w:ilvl w:val="0"/>
          <w:numId w:val="2"/>
        </w:numPr>
        <w:spacing w:after="80" w:line="300"/>
      </w:pPr>
      <w:r>
        <w:rPr>
          <w:rFonts w:ascii="Calibri" w:cs="Calibri" w:eastAsia="Calibri" w:hAnsi="Calibri"/>
          <w:color w:val="2D2D2D"/>
          <w:sz w:val="22"/>
          <w:szCs w:val="22"/>
        </w:rPr>
        <w:t xml:space="preserve">Automated scanning for credentials and PII in AI tool inputs.</w:t>
      </w:r>
    </w:p>
    <w:p>
      <w:pPr>
        <w:pStyle w:val="ListParagraph"/>
        <w:numPr>
          <w:ilvl w:val="0"/>
          <w:numId w:val="2"/>
        </w:numPr>
        <w:spacing w:after="80" w:line="300"/>
      </w:pPr>
      <w:r>
        <w:rPr>
          <w:rFonts w:ascii="Calibri" w:cs="Calibri" w:eastAsia="Calibri" w:hAnsi="Calibri"/>
          <w:color w:val="2D2D2D"/>
          <w:sz w:val="22"/>
          <w:szCs w:val="22"/>
        </w:rPr>
        <w:t xml:space="preserve">Version pinning for AI dependencies in CI/CD.</w:t>
      </w:r>
    </w:p>
    <w:p>
      <w:pPr>
        <w:pStyle w:val="Heading2"/>
        <w:spacing w:before="360" w:after="160"/>
      </w:pPr>
      <w:r>
        <w:rPr>
          <w:rFonts w:ascii="Georgia" w:cs="Georgia" w:eastAsia="Georgia" w:hAnsi="Georgia"/>
          <w:b/>
          <w:bCs/>
          <w:color w:val="2E75B6"/>
          <w:sz w:val="27"/>
          <w:szCs w:val="27"/>
        </w:rPr>
        <w:t xml:space="preserve">12.2 Accountability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rPr>
          <w:tblHeader/>
        </w:trPr>
        <w:tc>
          <w:tcPr>
            <w:tcW w:type="dxa" w:w="2200"/>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Event</w:t>
            </w:r>
          </w:p>
        </w:tc>
        <w:tc>
          <w:tcPr>
            <w:tcW w:type="dxa" w:w="3413"/>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Primary Accountability</w:t>
            </w:r>
          </w:p>
        </w:tc>
        <w:tc>
          <w:tcPr>
            <w:tcW w:type="dxa" w:w="3413"/>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Prevention</w:t>
            </w:r>
          </w:p>
        </w:tc>
      </w:tr>
      <w:tr>
        <w:tc>
          <w:tcPr>
            <w:tcW w:type="dxa" w:w="22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Client data leaked through AI tool</w:t>
            </w:r>
          </w:p>
        </w:tc>
        <w:tc>
          <w:tcPr>
            <w:tcW w:type="dxa" w:w="34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Individual who submitted the data, and the project lead responsible for enforcing policy</w:t>
            </w:r>
          </w:p>
        </w:tc>
        <w:tc>
          <w:tcPr>
            <w:tcW w:type="dxa" w:w="34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DLP controls. Training. Approved tools enforcement.</w:t>
            </w:r>
          </w:p>
        </w:tc>
      </w:tr>
      <w:tr>
        <w:tc>
          <w:tcPr>
            <w:tcW w:type="dxa" w:w="22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AI-generated test failed to catch a client defect</w:t>
            </w:r>
          </w:p>
        </w:tc>
        <w:tc>
          <w:tcPr>
            <w:tcW w:type="dxa" w:w="34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Reviewer who approved the test code</w:t>
            </w:r>
          </w:p>
        </w:tc>
        <w:tc>
          <w:tcPr>
            <w:tcW w:type="dxa" w:w="34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Mandatory review. Mutation testing.</w:t>
            </w:r>
          </w:p>
        </w:tc>
      </w:tr>
      <w:tr>
        <w:tc>
          <w:tcPr>
            <w:tcW w:type="dxa" w:w="22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Bias in client AI feature went undetected</w:t>
            </w:r>
          </w:p>
        </w:tc>
        <w:tc>
          <w:tcPr>
            <w:tcW w:type="dxa" w:w="34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Test lead who did not include bias testing in the strategy</w:t>
            </w:r>
          </w:p>
        </w:tc>
        <w:tc>
          <w:tcPr>
            <w:tcW w:type="dxa" w:w="34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Bias testing as standard for AI features. Diverse test data.</w:t>
            </w:r>
          </w:p>
        </w:tc>
      </w:tr>
      <w:tr>
        <w:tc>
          <w:tcPr>
            <w:tcW w:type="dxa" w:w="22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IP contamination in client deliverables</w:t>
            </w:r>
          </w:p>
        </w:tc>
        <w:tc>
          <w:tcPr>
            <w:tcW w:type="dxa" w:w="34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Engineer who used AI without licence scanning</w:t>
            </w:r>
          </w:p>
        </w:tc>
        <w:tc>
          <w:tcPr>
            <w:tcW w:type="dxa" w:w="3413"/>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Licence scanning in delivery pipeline. Provenance tracking.</w:t>
            </w:r>
          </w:p>
        </w:tc>
      </w:tr>
      <w:tr>
        <w:tc>
          <w:tcPr>
            <w:tcW w:type="dxa" w:w="22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Unapproved AI tool used on client project</w:t>
            </w:r>
          </w:p>
        </w:tc>
        <w:tc>
          <w:tcPr>
            <w:tcW w:type="dxa" w:w="34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Individual who used the tool, and project lead if approved list was not enforced</w:t>
            </w:r>
          </w:p>
        </w:tc>
        <w:tc>
          <w:tcPr>
            <w:tcW w:type="dxa" w:w="3413"/>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Clear approved tools register. Regular compliance checks.</w:t>
            </w:r>
          </w:p>
        </w:tc>
      </w:tr>
    </w:tbl>
    <w:p>
      <w:pPr>
        <w:spacing w:after="100"/>
      </w:pPr>
    </w:p>
    <w:p>
      <w:pPr>
        <w:pStyle w:val="Heading2"/>
        <w:spacing w:before="360" w:after="160"/>
      </w:pPr>
      <w:r>
        <w:rPr>
          <w:rFonts w:ascii="Georgia" w:cs="Georgia" w:eastAsia="Georgia" w:hAnsi="Georgia"/>
          <w:b/>
          <w:bCs/>
          <w:color w:val="2E75B6"/>
          <w:sz w:val="27"/>
          <w:szCs w:val="27"/>
        </w:rPr>
        <w:t xml:space="preserve">12.3 Client Transparency</w:t>
      </w:r>
    </w:p>
    <w:p>
      <w:pPr>
        <w:spacing w:after="160" w:line="300"/>
      </w:pPr>
      <w:r>
        <w:rPr>
          <w:rFonts w:ascii="Calibri" w:cs="Calibri" w:eastAsia="Calibri" w:hAnsi="Calibri"/>
          <w:color w:val="2D2D2D"/>
          <w:sz w:val="22"/>
          <w:szCs w:val="22"/>
        </w:rPr>
        <w:t xml:space="preserve">Our approach to client transparency around AI should be proactive, not reactive:</w:t>
      </w:r>
    </w:p>
    <w:p>
      <w:pPr>
        <w:pStyle w:val="ListParagraph"/>
        <w:numPr>
          <w:ilvl w:val="0"/>
          <w:numId w:val="2"/>
        </w:numPr>
        <w:spacing w:after="80" w:line="300"/>
      </w:pPr>
      <w:r>
        <w:rPr>
          <w:rFonts w:ascii="Calibri" w:cs="Calibri" w:eastAsia="Calibri" w:hAnsi="Calibri"/>
          <w:b/>
          <w:bCs/>
          <w:color w:val="2D2D2D"/>
          <w:sz w:val="22"/>
          <w:szCs w:val="22"/>
        </w:rPr>
        <w:t xml:space="preserve">Disclose at engagement start: </w:t>
      </w:r>
      <w:r>
        <w:rPr>
          <w:rFonts w:ascii="Calibri" w:cs="Calibri" w:eastAsia="Calibri" w:hAnsi="Calibri"/>
          <w:color w:val="2D2D2D"/>
          <w:sz w:val="22"/>
          <w:szCs w:val="22"/>
        </w:rPr>
        <w:t xml:space="preserve">Include AI tool usage plans in engagement proposals. Do not wait for clients to ask.</w:t>
      </w:r>
    </w:p>
    <w:p>
      <w:pPr>
        <w:pStyle w:val="ListParagraph"/>
        <w:numPr>
          <w:ilvl w:val="0"/>
          <w:numId w:val="2"/>
        </w:numPr>
        <w:spacing w:after="80" w:line="300"/>
      </w:pPr>
      <w:r>
        <w:rPr>
          <w:rFonts w:ascii="Calibri" w:cs="Calibri" w:eastAsia="Calibri" w:hAnsi="Calibri"/>
          <w:b/>
          <w:bCs/>
          <w:color w:val="2D2D2D"/>
          <w:sz w:val="22"/>
          <w:szCs w:val="22"/>
        </w:rPr>
        <w:t xml:space="preserve">Document data handling: </w:t>
      </w:r>
      <w:r>
        <w:rPr>
          <w:rFonts w:ascii="Calibri" w:cs="Calibri" w:eastAsia="Calibri" w:hAnsi="Calibri"/>
          <w:color w:val="2D2D2D"/>
          <w:sz w:val="22"/>
          <w:szCs w:val="22"/>
        </w:rPr>
        <w:t xml:space="preserve">Clearly state what client data touches AI tools and what does not.</w:t>
      </w:r>
    </w:p>
    <w:p>
      <w:pPr>
        <w:pStyle w:val="ListParagraph"/>
        <w:numPr>
          <w:ilvl w:val="0"/>
          <w:numId w:val="2"/>
        </w:numPr>
        <w:spacing w:after="80" w:line="300"/>
      </w:pPr>
      <w:r>
        <w:rPr>
          <w:rFonts w:ascii="Calibri" w:cs="Calibri" w:eastAsia="Calibri" w:hAnsi="Calibri"/>
          <w:b/>
          <w:bCs/>
          <w:color w:val="2D2D2D"/>
          <w:sz w:val="22"/>
          <w:szCs w:val="22"/>
        </w:rPr>
        <w:t xml:space="preserve">Include AI in SOWs: </w:t>
      </w:r>
      <w:r>
        <w:rPr>
          <w:rFonts w:ascii="Calibri" w:cs="Calibri" w:eastAsia="Calibri" w:hAnsi="Calibri"/>
          <w:color w:val="2D2D2D"/>
          <w:sz w:val="22"/>
          <w:szCs w:val="22"/>
        </w:rPr>
        <w:t xml:space="preserve">Statements of work should address AI tool usage, data handling, IP ownership, and accountability.</w:t>
      </w:r>
    </w:p>
    <w:p>
      <w:pPr>
        <w:pStyle w:val="ListParagraph"/>
        <w:numPr>
          <w:ilvl w:val="0"/>
          <w:numId w:val="2"/>
        </w:numPr>
        <w:spacing w:after="80" w:line="300"/>
      </w:pPr>
      <w:r>
        <w:rPr>
          <w:rFonts w:ascii="Calibri" w:cs="Calibri" w:eastAsia="Calibri" w:hAnsi="Calibri"/>
          <w:b/>
          <w:bCs/>
          <w:color w:val="2D2D2D"/>
          <w:sz w:val="22"/>
          <w:szCs w:val="22"/>
        </w:rPr>
        <w:t xml:space="preserve">Government-specific: </w:t>
      </w:r>
      <w:r>
        <w:rPr>
          <w:rFonts w:ascii="Calibri" w:cs="Calibri" w:eastAsia="Calibri" w:hAnsi="Calibri"/>
          <w:color w:val="2D2D2D"/>
          <w:sz w:val="22"/>
          <w:szCs w:val="22"/>
        </w:rPr>
        <w:t xml:space="preserve">For government clients, align disclosure with their AI transparency and governance requirements. Expect these requirements to become more detailed over time.</w:t>
      </w:r>
    </w:p>
    <w:p>
      <w:r>
        <w:br w:type="page"/>
      </w:r>
    </w:p>
    <w:p>
      <w:pPr>
        <w:pStyle w:val="Heading1"/>
        <w:spacing w:before="480" w:after="200"/>
      </w:pPr>
      <w:r>
        <w:rPr>
          <w:rFonts w:ascii="Georgia" w:cs="Georgia" w:eastAsia="Georgia" w:hAnsi="Georgia"/>
          <w:b/>
          <w:bCs/>
          <w:color w:val="1B2A4A"/>
          <w:sz w:val="34"/>
          <w:szCs w:val="34"/>
        </w:rPr>
        <w:t xml:space="preserve">13. Quick Reference Checklists</w:t>
      </w:r>
    </w:p>
    <w:p>
      <w:pPr>
        <w:spacing w:after="160" w:line="300"/>
      </w:pPr>
      <w:r>
        <w:rPr>
          <w:rFonts w:ascii="Calibri" w:cs="Calibri" w:eastAsia="Calibri" w:hAnsi="Calibri"/>
          <w:color w:val="2D2D2D"/>
          <w:sz w:val="22"/>
          <w:szCs w:val="22"/>
        </w:rPr>
        <w:t xml:space="preserve">These checklists are designed for practical use during project setup, sprint planning, and regular reviews.</w:t>
      </w:r>
    </w:p>
    <w:p>
      <w:pPr>
        <w:pStyle w:val="Heading2"/>
        <w:spacing w:before="360" w:after="160"/>
      </w:pPr>
      <w:r>
        <w:rPr>
          <w:rFonts w:ascii="Georgia" w:cs="Georgia" w:eastAsia="Georgia" w:hAnsi="Georgia"/>
          <w:b/>
          <w:bCs/>
          <w:color w:val="2E75B6"/>
          <w:sz w:val="27"/>
          <w:szCs w:val="27"/>
        </w:rPr>
        <w:t xml:space="preserve">13.1 Before Using Any AI Tool on a Client Engagement</w:t>
      </w:r>
    </w:p>
    <w:p>
      <w:pPr>
        <w:pStyle w:val="ListParagraph"/>
        <w:numPr>
          <w:ilvl w:val="0"/>
          <w:numId w:val="2"/>
        </w:numPr>
        <w:spacing w:after="80" w:line="300"/>
      </w:pPr>
      <w:r>
        <w:rPr>
          <w:rFonts w:ascii="Calibri" w:cs="Calibri" w:eastAsia="Calibri" w:hAnsi="Calibri"/>
          <w:color w:val="2D2D2D"/>
          <w:sz w:val="22"/>
          <w:szCs w:val="22"/>
        </w:rPr>
        <w:t xml:space="preserve">Is this tool on the approved register for this engagement’s data classification level?</w:t>
      </w:r>
    </w:p>
    <w:p>
      <w:pPr>
        <w:pStyle w:val="ListParagraph"/>
        <w:numPr>
          <w:ilvl w:val="0"/>
          <w:numId w:val="2"/>
        </w:numPr>
        <w:spacing w:after="80" w:line="300"/>
      </w:pPr>
      <w:r>
        <w:rPr>
          <w:rFonts w:ascii="Calibri" w:cs="Calibri" w:eastAsia="Calibri" w:hAnsi="Calibri"/>
          <w:color w:val="2D2D2D"/>
          <w:sz w:val="22"/>
          <w:szCs w:val="22"/>
        </w:rPr>
        <w:t xml:space="preserve">Have all client data, credentials, API keys, and PII been removed from the input?</w:t>
      </w:r>
    </w:p>
    <w:p>
      <w:pPr>
        <w:pStyle w:val="ListParagraph"/>
        <w:numPr>
          <w:ilvl w:val="0"/>
          <w:numId w:val="2"/>
        </w:numPr>
        <w:spacing w:after="80" w:line="300"/>
      </w:pPr>
      <w:r>
        <w:rPr>
          <w:rFonts w:ascii="Calibri" w:cs="Calibri" w:eastAsia="Calibri" w:hAnsi="Calibri"/>
          <w:color w:val="2D2D2D"/>
          <w:sz w:val="22"/>
          <w:szCs w:val="22"/>
        </w:rPr>
        <w:t xml:space="preserve">Is a no-training clause in place for this tool’s agreement?</w:t>
      </w:r>
    </w:p>
    <w:p>
      <w:pPr>
        <w:pStyle w:val="ListParagraph"/>
        <w:numPr>
          <w:ilvl w:val="0"/>
          <w:numId w:val="2"/>
        </w:numPr>
        <w:spacing w:after="80" w:line="300"/>
      </w:pPr>
      <w:r>
        <w:rPr>
          <w:rFonts w:ascii="Calibri" w:cs="Calibri" w:eastAsia="Calibri" w:hAnsi="Calibri"/>
          <w:color w:val="2D2D2D"/>
          <w:sz w:val="22"/>
          <w:szCs w:val="22"/>
        </w:rPr>
        <w:t xml:space="preserve">Does the tool’s data residency meet the client’s jurisdictional requirements?</w:t>
      </w:r>
    </w:p>
    <w:p>
      <w:pPr>
        <w:pStyle w:val="ListParagraph"/>
        <w:numPr>
          <w:ilvl w:val="0"/>
          <w:numId w:val="2"/>
        </w:numPr>
        <w:spacing w:after="80" w:line="300"/>
      </w:pPr>
      <w:r>
        <w:rPr>
          <w:rFonts w:ascii="Calibri" w:cs="Calibri" w:eastAsia="Calibri" w:hAnsi="Calibri"/>
          <w:color w:val="2D2D2D"/>
          <w:sz w:val="22"/>
          <w:szCs w:val="22"/>
        </w:rPr>
        <w:t xml:space="preserve">Has the client’s own AI usage policy been checked for restrictions?</w:t>
      </w:r>
    </w:p>
    <w:p>
      <w:pPr>
        <w:pStyle w:val="ListParagraph"/>
        <w:numPr>
          <w:ilvl w:val="0"/>
          <w:numId w:val="2"/>
        </w:numPr>
        <w:spacing w:after="80" w:line="300"/>
      </w:pPr>
      <w:r>
        <w:rPr>
          <w:rFonts w:ascii="Calibri" w:cs="Calibri" w:eastAsia="Calibri" w:hAnsi="Calibri"/>
          <w:color w:val="2D2D2D"/>
          <w:sz w:val="22"/>
          <w:szCs w:val="22"/>
        </w:rPr>
        <w:t xml:space="preserve">Is this interaction being logged for audit purposes?</w:t>
      </w:r>
    </w:p>
    <w:p>
      <w:pPr>
        <w:pStyle w:val="Heading2"/>
        <w:spacing w:before="360" w:after="160"/>
      </w:pPr>
      <w:r>
        <w:rPr>
          <w:rFonts w:ascii="Georgia" w:cs="Georgia" w:eastAsia="Georgia" w:hAnsi="Georgia"/>
          <w:b/>
          <w:bCs/>
          <w:color w:val="2E75B6"/>
          <w:sz w:val="27"/>
          <w:szCs w:val="27"/>
        </w:rPr>
        <w:t xml:space="preserve">13.2 Before Committing AI-Generated Code to a Client Project</w:t>
      </w:r>
    </w:p>
    <w:p>
      <w:pPr>
        <w:pStyle w:val="ListParagraph"/>
        <w:numPr>
          <w:ilvl w:val="0"/>
          <w:numId w:val="2"/>
        </w:numPr>
        <w:spacing w:after="80" w:line="300"/>
      </w:pPr>
      <w:r>
        <w:rPr>
          <w:rFonts w:ascii="Calibri" w:cs="Calibri" w:eastAsia="Calibri" w:hAnsi="Calibri"/>
          <w:color w:val="2D2D2D"/>
          <w:sz w:val="22"/>
          <w:szCs w:val="22"/>
        </w:rPr>
        <w:t xml:space="preserve">Has a team member reviewed every line and can explain its purpose?</w:t>
      </w:r>
    </w:p>
    <w:p>
      <w:pPr>
        <w:pStyle w:val="ListParagraph"/>
        <w:numPr>
          <w:ilvl w:val="0"/>
          <w:numId w:val="2"/>
        </w:numPr>
        <w:spacing w:after="80" w:line="300"/>
      </w:pPr>
      <w:r>
        <w:rPr>
          <w:rFonts w:ascii="Calibri" w:cs="Calibri" w:eastAsia="Calibri" w:hAnsi="Calibri"/>
          <w:color w:val="2D2D2D"/>
          <w:sz w:val="22"/>
          <w:szCs w:val="22"/>
        </w:rPr>
        <w:t xml:space="preserve">Have all suggested dependencies been verified in the official package registry?</w:t>
      </w:r>
    </w:p>
    <w:p>
      <w:pPr>
        <w:pStyle w:val="ListParagraph"/>
        <w:numPr>
          <w:ilvl w:val="0"/>
          <w:numId w:val="2"/>
        </w:numPr>
        <w:spacing w:after="80" w:line="300"/>
      </w:pPr>
      <w:r>
        <w:rPr>
          <w:rFonts w:ascii="Calibri" w:cs="Calibri" w:eastAsia="Calibri" w:hAnsi="Calibri"/>
          <w:color w:val="2D2D2D"/>
          <w:sz w:val="22"/>
          <w:szCs w:val="22"/>
        </w:rPr>
        <w:t xml:space="preserve">Has licence scanning been completed?</w:t>
      </w:r>
    </w:p>
    <w:p>
      <w:pPr>
        <w:pStyle w:val="ListParagraph"/>
        <w:numPr>
          <w:ilvl w:val="0"/>
          <w:numId w:val="2"/>
        </w:numPr>
        <w:spacing w:after="80" w:line="300"/>
      </w:pPr>
      <w:r>
        <w:rPr>
          <w:rFonts w:ascii="Calibri" w:cs="Calibri" w:eastAsia="Calibri" w:hAnsi="Calibri"/>
          <w:color w:val="2D2D2D"/>
          <w:sz w:val="22"/>
          <w:szCs w:val="22"/>
        </w:rPr>
        <w:t xml:space="preserve">Does the code contain any hardcoded credentials, endpoints, or sensitive values?</w:t>
      </w:r>
    </w:p>
    <w:p>
      <w:pPr>
        <w:pStyle w:val="ListParagraph"/>
        <w:numPr>
          <w:ilvl w:val="0"/>
          <w:numId w:val="2"/>
        </w:numPr>
        <w:spacing w:after="80" w:line="300"/>
      </w:pPr>
      <w:r>
        <w:rPr>
          <w:rFonts w:ascii="Calibri" w:cs="Calibri" w:eastAsia="Calibri" w:hAnsi="Calibri"/>
          <w:color w:val="2D2D2D"/>
          <w:sz w:val="22"/>
          <w:szCs w:val="22"/>
        </w:rPr>
        <w:t xml:space="preserve">Has static analysis (linting, SAST) passed?</w:t>
      </w:r>
    </w:p>
    <w:p>
      <w:pPr>
        <w:pStyle w:val="ListParagraph"/>
        <w:numPr>
          <w:ilvl w:val="0"/>
          <w:numId w:val="2"/>
        </w:numPr>
        <w:spacing w:after="80" w:line="300"/>
      </w:pPr>
      <w:r>
        <w:rPr>
          <w:rFonts w:ascii="Calibri" w:cs="Calibri" w:eastAsia="Calibri" w:hAnsi="Calibri"/>
          <w:color w:val="2D2D2D"/>
          <w:sz w:val="22"/>
          <w:szCs w:val="22"/>
        </w:rPr>
        <w:t xml:space="preserve">For tests: has mutation testing confirmed the assertions detect real defects?</w:t>
      </w:r>
    </w:p>
    <w:p>
      <w:pPr>
        <w:pStyle w:val="Heading2"/>
        <w:spacing w:before="360" w:after="160"/>
      </w:pPr>
      <w:r>
        <w:rPr>
          <w:rFonts w:ascii="Georgia" w:cs="Georgia" w:eastAsia="Georgia" w:hAnsi="Georgia"/>
          <w:b/>
          <w:bCs/>
          <w:color w:val="2E75B6"/>
          <w:sz w:val="27"/>
          <w:szCs w:val="27"/>
        </w:rPr>
        <w:t xml:space="preserve">13.3 Before Using AI-Generated Test Data on a Client Engagement</w:t>
      </w:r>
    </w:p>
    <w:p>
      <w:pPr>
        <w:pStyle w:val="ListParagraph"/>
        <w:numPr>
          <w:ilvl w:val="0"/>
          <w:numId w:val="2"/>
        </w:numPr>
        <w:spacing w:after="80" w:line="300"/>
      </w:pPr>
      <w:r>
        <w:rPr>
          <w:rFonts w:ascii="Calibri" w:cs="Calibri" w:eastAsia="Calibri" w:hAnsi="Calibri"/>
          <w:color w:val="2D2D2D"/>
          <w:sz w:val="22"/>
          <w:szCs w:val="22"/>
        </w:rPr>
        <w:t xml:space="preserve">Was generation based on schemas or specifications, not client production data?</w:t>
      </w:r>
    </w:p>
    <w:p>
      <w:pPr>
        <w:pStyle w:val="ListParagraph"/>
        <w:numPr>
          <w:ilvl w:val="0"/>
          <w:numId w:val="2"/>
        </w:numPr>
        <w:spacing w:after="80" w:line="300"/>
      </w:pPr>
      <w:r>
        <w:rPr>
          <w:rFonts w:ascii="Calibri" w:cs="Calibri" w:eastAsia="Calibri" w:hAnsi="Calibri"/>
          <w:color w:val="2D2D2D"/>
          <w:sz w:val="22"/>
          <w:szCs w:val="22"/>
        </w:rPr>
        <w:t xml:space="preserve">Has PII detection been run on the generated dataset?</w:t>
      </w:r>
    </w:p>
    <w:p>
      <w:pPr>
        <w:pStyle w:val="ListParagraph"/>
        <w:numPr>
          <w:ilvl w:val="0"/>
          <w:numId w:val="2"/>
        </w:numPr>
        <w:spacing w:after="80" w:line="300"/>
      </w:pPr>
      <w:r>
        <w:rPr>
          <w:rFonts w:ascii="Calibri" w:cs="Calibri" w:eastAsia="Calibri" w:hAnsi="Calibri"/>
          <w:color w:val="2D2D2D"/>
          <w:sz w:val="22"/>
          <w:szCs w:val="22"/>
        </w:rPr>
        <w:t xml:space="preserve">Has domain-specific validation been applied?</w:t>
      </w:r>
    </w:p>
    <w:p>
      <w:pPr>
        <w:pStyle w:val="ListParagraph"/>
        <w:numPr>
          <w:ilvl w:val="0"/>
          <w:numId w:val="2"/>
        </w:numPr>
        <w:spacing w:after="80" w:line="300"/>
      </w:pPr>
      <w:r>
        <w:rPr>
          <w:rFonts w:ascii="Calibri" w:cs="Calibri" w:eastAsia="Calibri" w:hAnsi="Calibri"/>
          <w:color w:val="2D2D2D"/>
          <w:sz w:val="22"/>
          <w:szCs w:val="22"/>
        </w:rPr>
        <w:t xml:space="preserve">Has demographic distribution been audited?</w:t>
      </w:r>
    </w:p>
    <w:p>
      <w:pPr>
        <w:pStyle w:val="ListParagraph"/>
        <w:numPr>
          <w:ilvl w:val="0"/>
          <w:numId w:val="2"/>
        </w:numPr>
        <w:spacing w:after="80" w:line="300"/>
      </w:pPr>
      <w:r>
        <w:rPr>
          <w:rFonts w:ascii="Calibri" w:cs="Calibri" w:eastAsia="Calibri" w:hAnsi="Calibri"/>
          <w:color w:val="2D2D2D"/>
          <w:sz w:val="22"/>
          <w:szCs w:val="22"/>
        </w:rPr>
        <w:t xml:space="preserve">Has the generation process been documented for the client audit trail?</w:t>
      </w:r>
    </w:p>
    <w:p>
      <w:pPr>
        <w:pStyle w:val="Heading2"/>
        <w:spacing w:before="360" w:after="160"/>
      </w:pPr>
      <w:r>
        <w:rPr>
          <w:rFonts w:ascii="Georgia" w:cs="Georgia" w:eastAsia="Georgia" w:hAnsi="Georgia"/>
          <w:b/>
          <w:bCs/>
          <w:color w:val="2E75B6"/>
          <w:sz w:val="27"/>
          <w:szCs w:val="27"/>
        </w:rPr>
        <w:t xml:space="preserve">13.4 Before Testing an AI Feature in a Client Application</w:t>
      </w:r>
    </w:p>
    <w:p>
      <w:pPr>
        <w:pStyle w:val="ListParagraph"/>
        <w:numPr>
          <w:ilvl w:val="0"/>
          <w:numId w:val="2"/>
        </w:numPr>
        <w:spacing w:after="80" w:line="300"/>
      </w:pPr>
      <w:r>
        <w:rPr>
          <w:rFonts w:ascii="Calibri" w:cs="Calibri" w:eastAsia="Calibri" w:hAnsi="Calibri"/>
          <w:color w:val="2D2D2D"/>
          <w:sz w:val="22"/>
          <w:szCs w:val="22"/>
        </w:rPr>
        <w:t xml:space="preserve">Has model documentation or a model card been obtained from the client’s development team?</w:t>
      </w:r>
    </w:p>
    <w:p>
      <w:pPr>
        <w:pStyle w:val="ListParagraph"/>
        <w:numPr>
          <w:ilvl w:val="0"/>
          <w:numId w:val="2"/>
        </w:numPr>
        <w:spacing w:after="80" w:line="300"/>
      </w:pPr>
      <w:r>
        <w:rPr>
          <w:rFonts w:ascii="Calibri" w:cs="Calibri" w:eastAsia="Calibri" w:hAnsi="Calibri"/>
          <w:color w:val="2D2D2D"/>
          <w:sz w:val="22"/>
          <w:szCs w:val="22"/>
        </w:rPr>
        <w:t xml:space="preserve">Are adversarial and prompt injection tests included in the test plan?</w:t>
      </w:r>
    </w:p>
    <w:p>
      <w:pPr>
        <w:pStyle w:val="ListParagraph"/>
        <w:numPr>
          <w:ilvl w:val="0"/>
          <w:numId w:val="2"/>
        </w:numPr>
        <w:spacing w:after="80" w:line="300"/>
      </w:pPr>
      <w:r>
        <w:rPr>
          <w:rFonts w:ascii="Calibri" w:cs="Calibri" w:eastAsia="Calibri" w:hAnsi="Calibri"/>
          <w:color w:val="2D2D2D"/>
          <w:sz w:val="22"/>
          <w:szCs w:val="22"/>
        </w:rPr>
        <w:t xml:space="preserve">Are bias test scenarios covering relevant protected attributes included?</w:t>
      </w:r>
    </w:p>
    <w:p>
      <w:pPr>
        <w:pStyle w:val="ListParagraph"/>
        <w:numPr>
          <w:ilvl w:val="0"/>
          <w:numId w:val="2"/>
        </w:numPr>
        <w:spacing w:after="80" w:line="300"/>
      </w:pPr>
      <w:r>
        <w:rPr>
          <w:rFonts w:ascii="Calibri" w:cs="Calibri" w:eastAsia="Calibri" w:hAnsi="Calibri"/>
          <w:color w:val="2D2D2D"/>
          <w:sz w:val="22"/>
          <w:szCs w:val="22"/>
        </w:rPr>
        <w:t xml:space="preserve">Are non-functional requirements (latency, throughput, cost) defined and testable?</w:t>
      </w:r>
    </w:p>
    <w:p>
      <w:pPr>
        <w:pStyle w:val="ListParagraph"/>
        <w:numPr>
          <w:ilvl w:val="0"/>
          <w:numId w:val="2"/>
        </w:numPr>
        <w:spacing w:after="80" w:line="300"/>
      </w:pPr>
      <w:r>
        <w:rPr>
          <w:rFonts w:ascii="Calibri" w:cs="Calibri" w:eastAsia="Calibri" w:hAnsi="Calibri"/>
          <w:color w:val="2D2D2D"/>
          <w:sz w:val="22"/>
          <w:szCs w:val="22"/>
        </w:rPr>
        <w:t xml:space="preserve">Are failure modes and fallback behaviours included in the test scope?</w:t>
      </w:r>
    </w:p>
    <w:p>
      <w:pPr>
        <w:pStyle w:val="ListParagraph"/>
        <w:numPr>
          <w:ilvl w:val="0"/>
          <w:numId w:val="2"/>
        </w:numPr>
        <w:spacing w:after="80" w:line="300"/>
      </w:pPr>
      <w:r>
        <w:rPr>
          <w:rFonts w:ascii="Calibri" w:cs="Calibri" w:eastAsia="Calibri" w:hAnsi="Calibri"/>
          <w:color w:val="2D2D2D"/>
          <w:sz w:val="22"/>
          <w:szCs w:val="22"/>
        </w:rPr>
        <w:t xml:space="preserve">Are AI-specific acceptance criteria defined (fairness, explainability, robustness)?</w:t>
      </w:r>
    </w:p>
    <w:p>
      <w:pPr>
        <w:pStyle w:val="ListParagraph"/>
        <w:numPr>
          <w:ilvl w:val="0"/>
          <w:numId w:val="2"/>
        </w:numPr>
        <w:spacing w:after="80" w:line="300"/>
      </w:pPr>
      <w:r>
        <w:rPr>
          <w:rFonts w:ascii="Calibri" w:cs="Calibri" w:eastAsia="Calibri" w:hAnsi="Calibri"/>
          <w:color w:val="2D2D2D"/>
          <w:sz w:val="22"/>
          <w:szCs w:val="22"/>
        </w:rPr>
        <w:t xml:space="preserve">For government clients: does the test approach align with public sector AI governance requirements?</w:t>
      </w:r>
    </w:p>
    <w:p>
      <w:pPr>
        <w:pStyle w:val="Heading2"/>
        <w:spacing w:before="360" w:after="160"/>
      </w:pPr>
      <w:r>
        <w:rPr>
          <w:rFonts w:ascii="Georgia" w:cs="Georgia" w:eastAsia="Georgia" w:hAnsi="Georgia"/>
          <w:b/>
          <w:bCs/>
          <w:color w:val="2E75B6"/>
          <w:sz w:val="27"/>
          <w:szCs w:val="27"/>
        </w:rPr>
        <w:t xml:space="preserve">13.5 Client Engagement Kickoff</w:t>
      </w:r>
    </w:p>
    <w:p>
      <w:pPr>
        <w:pStyle w:val="ListParagraph"/>
        <w:numPr>
          <w:ilvl w:val="0"/>
          <w:numId w:val="2"/>
        </w:numPr>
        <w:spacing w:after="80" w:line="300"/>
      </w:pPr>
      <w:r>
        <w:rPr>
          <w:rFonts w:ascii="Calibri" w:cs="Calibri" w:eastAsia="Calibri" w:hAnsi="Calibri"/>
          <w:color w:val="2D2D2D"/>
          <w:sz w:val="22"/>
          <w:szCs w:val="22"/>
        </w:rPr>
        <w:t xml:space="preserve">Client AI usage disclosure discussed and agreed?</w:t>
      </w:r>
    </w:p>
    <w:p>
      <w:pPr>
        <w:pStyle w:val="ListParagraph"/>
        <w:numPr>
          <w:ilvl w:val="0"/>
          <w:numId w:val="2"/>
        </w:numPr>
        <w:spacing w:after="80" w:line="300"/>
      </w:pPr>
      <w:r>
        <w:rPr>
          <w:rFonts w:ascii="Calibri" w:cs="Calibri" w:eastAsia="Calibri" w:hAnsi="Calibri"/>
          <w:color w:val="2D2D2D"/>
          <w:sz w:val="22"/>
          <w:szCs w:val="22"/>
        </w:rPr>
        <w:t xml:space="preserve">Data processing agreements covering AI tools in place?</w:t>
      </w:r>
    </w:p>
    <w:p>
      <w:pPr>
        <w:pStyle w:val="ListParagraph"/>
        <w:numPr>
          <w:ilvl w:val="0"/>
          <w:numId w:val="2"/>
        </w:numPr>
        <w:spacing w:after="80" w:line="300"/>
      </w:pPr>
      <w:r>
        <w:rPr>
          <w:rFonts w:ascii="Calibri" w:cs="Calibri" w:eastAsia="Calibri" w:hAnsi="Calibri"/>
          <w:color w:val="2D2D2D"/>
          <w:sz w:val="22"/>
          <w:szCs w:val="22"/>
        </w:rPr>
        <w:t xml:space="preserve">AI tool list approved for this engagement?</w:t>
      </w:r>
    </w:p>
    <w:p>
      <w:pPr>
        <w:pStyle w:val="ListParagraph"/>
        <w:numPr>
          <w:ilvl w:val="0"/>
          <w:numId w:val="2"/>
        </w:numPr>
        <w:spacing w:after="80" w:line="300"/>
      </w:pPr>
      <w:r>
        <w:rPr>
          <w:rFonts w:ascii="Calibri" w:cs="Calibri" w:eastAsia="Calibri" w:hAnsi="Calibri"/>
          <w:color w:val="2D2D2D"/>
          <w:sz w:val="22"/>
          <w:szCs w:val="22"/>
        </w:rPr>
        <w:t xml:space="preserve">Synthetic data strategy defined and operational?</w:t>
      </w:r>
    </w:p>
    <w:p>
      <w:pPr>
        <w:pStyle w:val="ListParagraph"/>
        <w:numPr>
          <w:ilvl w:val="0"/>
          <w:numId w:val="2"/>
        </w:numPr>
        <w:spacing w:after="80" w:line="300"/>
      </w:pPr>
      <w:r>
        <w:rPr>
          <w:rFonts w:ascii="Calibri" w:cs="Calibri" w:eastAsia="Calibri" w:hAnsi="Calibri"/>
          <w:color w:val="2D2D2D"/>
          <w:sz w:val="22"/>
          <w:szCs w:val="22"/>
        </w:rPr>
        <w:t xml:space="preserve">Team AI security awareness training confirmed current?</w:t>
      </w:r>
    </w:p>
    <w:p>
      <w:pPr>
        <w:pStyle w:val="ListParagraph"/>
        <w:numPr>
          <w:ilvl w:val="0"/>
          <w:numId w:val="2"/>
        </w:numPr>
        <w:spacing w:after="80" w:line="300"/>
      </w:pPr>
      <w:r>
        <w:rPr>
          <w:rFonts w:ascii="Calibri" w:cs="Calibri" w:eastAsia="Calibri" w:hAnsi="Calibri"/>
          <w:color w:val="2D2D2D"/>
          <w:sz w:val="22"/>
          <w:szCs w:val="22"/>
        </w:rPr>
        <w:t xml:space="preserve">IP handling and licence scanning procedures agreed?</w:t>
      </w:r>
    </w:p>
    <w:p>
      <w:pPr>
        <w:pStyle w:val="ListParagraph"/>
        <w:numPr>
          <w:ilvl w:val="0"/>
          <w:numId w:val="2"/>
        </w:numPr>
        <w:spacing w:after="80" w:line="300"/>
      </w:pPr>
      <w:r>
        <w:rPr>
          <w:rFonts w:ascii="Calibri" w:cs="Calibri" w:eastAsia="Calibri" w:hAnsi="Calibri"/>
          <w:color w:val="2D2D2D"/>
          <w:sz w:val="22"/>
          <w:szCs w:val="22"/>
        </w:rPr>
        <w:t xml:space="preserve">Incident response procedures cover AI-related events?</w:t>
      </w:r>
    </w:p>
    <w:p>
      <w:pPr>
        <w:pStyle w:val="ListParagraph"/>
        <w:numPr>
          <w:ilvl w:val="0"/>
          <w:numId w:val="2"/>
        </w:numPr>
        <w:spacing w:after="80" w:line="300"/>
      </w:pPr>
      <w:r>
        <w:rPr>
          <w:rFonts w:ascii="Calibri" w:cs="Calibri" w:eastAsia="Calibri" w:hAnsi="Calibri"/>
          <w:color w:val="2D2D2D"/>
          <w:sz w:val="22"/>
          <w:szCs w:val="22"/>
        </w:rPr>
        <w:t xml:space="preserve">Fallback strategy documented for AI tool unavailability?</w:t>
      </w:r>
    </w:p>
    <w:p>
      <w:pPr>
        <w:pStyle w:val="ListParagraph"/>
        <w:numPr>
          <w:ilvl w:val="0"/>
          <w:numId w:val="2"/>
        </w:numPr>
        <w:spacing w:after="80" w:line="300"/>
      </w:pPr>
      <w:r>
        <w:rPr>
          <w:rFonts w:ascii="Calibri" w:cs="Calibri" w:eastAsia="Calibri" w:hAnsi="Calibri"/>
          <w:color w:val="2D2D2D"/>
          <w:sz w:val="22"/>
          <w:szCs w:val="22"/>
        </w:rPr>
        <w:t xml:space="preserve">Government-specific governance requirements identified and mapped?</w:t>
      </w:r>
    </w:p>
    <w:p>
      <w:pPr>
        <w:pStyle w:val="Heading2"/>
        <w:spacing w:before="360" w:after="160"/>
      </w:pPr>
      <w:r>
        <w:rPr>
          <w:rFonts w:ascii="Georgia" w:cs="Georgia" w:eastAsia="Georgia" w:hAnsi="Georgia"/>
          <w:b/>
          <w:bCs/>
          <w:color w:val="2E75B6"/>
          <w:sz w:val="27"/>
          <w:szCs w:val="27"/>
        </w:rPr>
        <w:t xml:space="preserve">13.6 Monthly AI Security Review</w:t>
      </w:r>
    </w:p>
    <w:p>
      <w:pPr>
        <w:pStyle w:val="ListParagraph"/>
        <w:numPr>
          <w:ilvl w:val="0"/>
          <w:numId w:val="2"/>
        </w:numPr>
        <w:spacing w:after="80" w:line="300"/>
      </w:pPr>
      <w:r>
        <w:rPr>
          <w:rFonts w:ascii="Calibri" w:cs="Calibri" w:eastAsia="Calibri" w:hAnsi="Calibri"/>
          <w:color w:val="2D2D2D"/>
          <w:sz w:val="22"/>
          <w:szCs w:val="22"/>
        </w:rPr>
        <w:t xml:space="preserve">All AI tools still on the approved register? Any changes?</w:t>
      </w:r>
    </w:p>
    <w:p>
      <w:pPr>
        <w:pStyle w:val="ListParagraph"/>
        <w:numPr>
          <w:ilvl w:val="0"/>
          <w:numId w:val="2"/>
        </w:numPr>
        <w:spacing w:after="80" w:line="300"/>
      </w:pPr>
      <w:r>
        <w:rPr>
          <w:rFonts w:ascii="Calibri" w:cs="Calibri" w:eastAsia="Calibri" w:hAnsi="Calibri"/>
          <w:color w:val="2D2D2D"/>
          <w:sz w:val="22"/>
          <w:szCs w:val="22"/>
        </w:rPr>
        <w:t xml:space="preserve">New team members completed AI security training?</w:t>
      </w:r>
    </w:p>
    <w:p>
      <w:pPr>
        <w:pStyle w:val="ListParagraph"/>
        <w:numPr>
          <w:ilvl w:val="0"/>
          <w:numId w:val="2"/>
        </w:numPr>
        <w:spacing w:after="80" w:line="300"/>
      </w:pPr>
      <w:r>
        <w:rPr>
          <w:rFonts w:ascii="Calibri" w:cs="Calibri" w:eastAsia="Calibri" w:hAnsi="Calibri"/>
          <w:color w:val="2D2D2D"/>
          <w:sz w:val="22"/>
          <w:szCs w:val="22"/>
        </w:rPr>
        <w:t xml:space="preserve">AI tool usage logs reviewed?</w:t>
      </w:r>
    </w:p>
    <w:p>
      <w:pPr>
        <w:pStyle w:val="ListParagraph"/>
        <w:numPr>
          <w:ilvl w:val="0"/>
          <w:numId w:val="2"/>
        </w:numPr>
        <w:spacing w:after="80" w:line="300"/>
      </w:pPr>
      <w:r>
        <w:rPr>
          <w:rFonts w:ascii="Calibri" w:cs="Calibri" w:eastAsia="Calibri" w:hAnsi="Calibri"/>
          <w:color w:val="2D2D2D"/>
          <w:sz w:val="22"/>
          <w:szCs w:val="22"/>
        </w:rPr>
        <w:t xml:space="preserve">Any AI-related incidents or near-misses reviewed?</w:t>
      </w:r>
    </w:p>
    <w:p>
      <w:pPr>
        <w:pStyle w:val="ListParagraph"/>
        <w:numPr>
          <w:ilvl w:val="0"/>
          <w:numId w:val="2"/>
        </w:numPr>
        <w:spacing w:after="80" w:line="300"/>
      </w:pPr>
      <w:r>
        <w:rPr>
          <w:rFonts w:ascii="Calibri" w:cs="Calibri" w:eastAsia="Calibri" w:hAnsi="Calibri"/>
          <w:color w:val="2D2D2D"/>
          <w:sz w:val="22"/>
          <w:szCs w:val="22"/>
        </w:rPr>
        <w:t xml:space="preserve">Synthetic data pipelines current and sufficient?</w:t>
      </w:r>
    </w:p>
    <w:p>
      <w:pPr>
        <w:pStyle w:val="ListParagraph"/>
        <w:numPr>
          <w:ilvl w:val="0"/>
          <w:numId w:val="2"/>
        </w:numPr>
        <w:spacing w:after="80" w:line="300"/>
      </w:pPr>
      <w:r>
        <w:rPr>
          <w:rFonts w:ascii="Calibri" w:cs="Calibri" w:eastAsia="Calibri" w:hAnsi="Calibri"/>
          <w:color w:val="2D2D2D"/>
          <w:sz w:val="22"/>
          <w:szCs w:val="22"/>
        </w:rPr>
        <w:t xml:space="preserve">AI tool landscape assessed for new risks or capabilities?</w:t>
      </w:r>
    </w:p>
    <w:p>
      <w:pPr>
        <w:pStyle w:val="ListParagraph"/>
        <w:numPr>
          <w:ilvl w:val="0"/>
          <w:numId w:val="2"/>
        </w:numPr>
        <w:spacing w:after="80" w:line="300"/>
      </w:pPr>
      <w:r>
        <w:rPr>
          <w:rFonts w:ascii="Calibri" w:cs="Calibri" w:eastAsia="Calibri" w:hAnsi="Calibri"/>
          <w:color w:val="2D2D2D"/>
          <w:sz w:val="22"/>
          <w:szCs w:val="22"/>
        </w:rPr>
        <w:t xml:space="preserve">Model versions in CI/CD still pinned and current?</w:t>
      </w:r>
    </w:p>
    <w:p>
      <w:pPr>
        <w:pStyle w:val="ListParagraph"/>
        <w:numPr>
          <w:ilvl w:val="0"/>
          <w:numId w:val="2"/>
        </w:numPr>
        <w:spacing w:after="80" w:line="300"/>
      </w:pPr>
      <w:r>
        <w:rPr>
          <w:rFonts w:ascii="Calibri" w:cs="Calibri" w:eastAsia="Calibri" w:hAnsi="Calibri"/>
          <w:color w:val="2D2D2D"/>
          <w:sz w:val="22"/>
          <w:szCs w:val="22"/>
        </w:rPr>
        <w:t xml:space="preserve">Client-facing governance documentation up to date?</w:t>
      </w:r>
    </w:p>
    <w:p>
      <w:r>
        <w:br w:type="page"/>
      </w:r>
    </w:p>
    <w:p>
      <w:pPr>
        <w:pStyle w:val="Heading1"/>
        <w:spacing w:before="480" w:after="200"/>
      </w:pPr>
      <w:r>
        <w:rPr>
          <w:rFonts w:ascii="Georgia" w:cs="Georgia" w:eastAsia="Georgia" w:hAnsi="Georgia"/>
          <w:b/>
          <w:bCs/>
          <w:color w:val="1B2A4A"/>
          <w:sz w:val="34"/>
          <w:szCs w:val="34"/>
        </w:rPr>
        <w:t xml:space="preserve">14. Appendix: AI Tool Risk Assessment Template</w:t>
      </w:r>
    </w:p>
    <w:p>
      <w:pPr>
        <w:spacing w:after="160" w:line="300"/>
      </w:pPr>
      <w:r>
        <w:rPr>
          <w:rFonts w:ascii="Calibri" w:cs="Calibri" w:eastAsia="Calibri" w:hAnsi="Calibri"/>
          <w:color w:val="2D2D2D"/>
          <w:sz w:val="22"/>
          <w:szCs w:val="22"/>
        </w:rPr>
        <w:t xml:space="preserve">Use this template when evaluating any new AI tool for potential use on client engagements.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726"/>
        <w:gridCol w:w="1100"/>
        <w:gridCol w:w="2700"/>
      </w:tblGrid>
      <w:tr>
        <w:trPr>
          <w:tblHeader/>
        </w:trPr>
        <w:tc>
          <w:tcPr>
            <w:tcW w:type="dxa" w:w="1500"/>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Area</w:t>
            </w:r>
          </w:p>
        </w:tc>
        <w:tc>
          <w:tcPr>
            <w:tcW w:type="dxa" w:w="3726"/>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Key Questions</w:t>
            </w:r>
          </w:p>
        </w:tc>
        <w:tc>
          <w:tcPr>
            <w:tcW w:type="dxa" w:w="1100"/>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Rating (1–5)</w:t>
            </w:r>
          </w:p>
        </w:tc>
        <w:tc>
          <w:tcPr>
            <w:tcW w:type="dxa" w:w="2700"/>
            <w:tcBorders>
              <w:top w:val="single" w:color="BFC9D1" w:sz="1"/>
              <w:left w:val="single" w:color="BFC9D1" w:sz="1"/>
              <w:bottom w:val="single" w:color="BFC9D1" w:sz="1"/>
              <w:right w:val="single" w:color="BFC9D1"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Notes</w:t>
            </w:r>
          </w:p>
        </w:tc>
      </w:tr>
      <w:tr>
        <w:tc>
          <w:tcPr>
            <w:tcW w:type="dxa" w:w="15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Data Handling</w:t>
            </w:r>
          </w:p>
        </w:tc>
        <w:tc>
          <w:tcPr>
            <w:tcW w:type="dxa" w:w="3726"/>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Where is data processed? Is it stored? For how long? Is it used for training? Is encryption applied in transit and at rest?</w:t>
            </w:r>
          </w:p>
        </w:tc>
        <w:tc>
          <w:tcPr>
            <w:tcW w:type="dxa" w:w="11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
            </w:r>
          </w:p>
        </w:tc>
        <w:tc>
          <w:tcPr>
            <w:tcW w:type="dxa" w:w="27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
            </w:r>
          </w:p>
        </w:tc>
      </w:tr>
      <w:tr>
        <w:tc>
          <w:tcPr>
            <w:tcW w:type="dxa" w:w="15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Security Certifications</w:t>
            </w:r>
          </w:p>
        </w:tc>
        <w:tc>
          <w:tcPr>
            <w:tcW w:type="dxa" w:w="3726"/>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SOC2? ISO 27001? Penetration test reports? Bug bounty programme?</w:t>
            </w:r>
          </w:p>
        </w:tc>
        <w:tc>
          <w:tcPr>
            <w:tcW w:type="dxa" w:w="11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
            </w:r>
          </w:p>
        </w:tc>
        <w:tc>
          <w:tcPr>
            <w:tcW w:type="dxa" w:w="27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
            </w:r>
          </w:p>
        </w:tc>
      </w:tr>
      <w:tr>
        <w:tc>
          <w:tcPr>
            <w:tcW w:type="dxa" w:w="15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Privacy and Compliance</w:t>
            </w:r>
          </w:p>
        </w:tc>
        <w:tc>
          <w:tcPr>
            <w:tcW w:type="dxa" w:w="3726"/>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UK GDPR compliant? DPA available? Data residency within UK/EEA? Cross-border transfer mechanisms?</w:t>
            </w:r>
          </w:p>
        </w:tc>
        <w:tc>
          <w:tcPr>
            <w:tcW w:type="dxa" w:w="11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
            </w:r>
          </w:p>
        </w:tc>
        <w:tc>
          <w:tcPr>
            <w:tcW w:type="dxa" w:w="27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
            </w:r>
          </w:p>
        </w:tc>
      </w:tr>
      <w:tr>
        <w:tc>
          <w:tcPr>
            <w:tcW w:type="dxa" w:w="15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Government Suitability</w:t>
            </w:r>
          </w:p>
        </w:tc>
        <w:tc>
          <w:tcPr>
            <w:tcW w:type="dxa" w:w="3726"/>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Does the tool meet requirements for Official data handling? Can data residency be restricted to UK data centres?</w:t>
            </w:r>
          </w:p>
        </w:tc>
        <w:tc>
          <w:tcPr>
            <w:tcW w:type="dxa" w:w="11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
            </w:r>
          </w:p>
        </w:tc>
        <w:tc>
          <w:tcPr>
            <w:tcW w:type="dxa" w:w="27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
            </w:r>
          </w:p>
        </w:tc>
      </w:tr>
      <w:tr>
        <w:tc>
          <w:tcPr>
            <w:tcW w:type="dxa" w:w="15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Integration Security</w:t>
            </w:r>
          </w:p>
        </w:tc>
        <w:tc>
          <w:tcPr>
            <w:tcW w:type="dxa" w:w="3726"/>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API authentication? Rate limiting? Token management? Audit logging?</w:t>
            </w:r>
          </w:p>
        </w:tc>
        <w:tc>
          <w:tcPr>
            <w:tcW w:type="dxa" w:w="11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
            </w:r>
          </w:p>
        </w:tc>
        <w:tc>
          <w:tcPr>
            <w:tcW w:type="dxa" w:w="27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
            </w:r>
          </w:p>
        </w:tc>
      </w:tr>
      <w:tr>
        <w:tc>
          <w:tcPr>
            <w:tcW w:type="dxa" w:w="15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Output Quality</w:t>
            </w:r>
          </w:p>
        </w:tc>
        <w:tc>
          <w:tcPr>
            <w:tcW w:type="dxa" w:w="3726"/>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Accuracy of outputs? Known hallucination rates? Bias in generated content?</w:t>
            </w:r>
          </w:p>
        </w:tc>
        <w:tc>
          <w:tcPr>
            <w:tcW w:type="dxa" w:w="11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
            </w:r>
          </w:p>
        </w:tc>
        <w:tc>
          <w:tcPr>
            <w:tcW w:type="dxa" w:w="27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
            </w:r>
          </w:p>
        </w:tc>
      </w:tr>
      <w:tr>
        <w:tc>
          <w:tcPr>
            <w:tcW w:type="dxa" w:w="15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IP Terms</w:t>
            </w:r>
          </w:p>
        </w:tc>
        <w:tc>
          <w:tcPr>
            <w:tcW w:type="dxa" w:w="3726"/>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Rights to inputs? Rights to outputs? Training on submitted data? Licence risks in generated code?</w:t>
            </w:r>
          </w:p>
        </w:tc>
        <w:tc>
          <w:tcPr>
            <w:tcW w:type="dxa" w:w="11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
            </w:r>
          </w:p>
        </w:tc>
        <w:tc>
          <w:tcPr>
            <w:tcW w:type="dxa" w:w="27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
            </w:r>
          </w:p>
        </w:tc>
      </w:tr>
      <w:tr>
        <w:tc>
          <w:tcPr>
            <w:tcW w:type="dxa" w:w="15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Vendor Stability</w:t>
            </w:r>
          </w:p>
        </w:tc>
        <w:tc>
          <w:tcPr>
            <w:tcW w:type="dxa" w:w="3726"/>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Company maturity? Funding? Track record? Published SLA? Incident disclosure history?</w:t>
            </w:r>
          </w:p>
        </w:tc>
        <w:tc>
          <w:tcPr>
            <w:tcW w:type="dxa" w:w="11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
            </w:r>
          </w:p>
        </w:tc>
        <w:tc>
          <w:tcPr>
            <w:tcW w:type="dxa" w:w="2700"/>
            <w:tcBorders>
              <w:top w:val="single" w:color="BFC9D1" w:sz="1"/>
              <w:left w:val="single" w:color="BFC9D1" w:sz="1"/>
              <w:bottom w:val="single" w:color="BFC9D1" w:sz="1"/>
              <w:right w:val="single" w:color="BFC9D1" w:sz="1"/>
            </w:tcBorders>
            <w:shd w:fill="F4F6F8"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
            </w:r>
          </w:p>
        </w:tc>
      </w:tr>
      <w:tr>
        <w:tc>
          <w:tcPr>
            <w:tcW w:type="dxa" w:w="15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Exit Strategy</w:t>
            </w:r>
          </w:p>
        </w:tc>
        <w:tc>
          <w:tcPr>
            <w:tcW w:type="dxa" w:w="3726"/>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Data export? Migration path? Contractual exit terms?</w:t>
            </w:r>
          </w:p>
        </w:tc>
        <w:tc>
          <w:tcPr>
            <w:tcW w:type="dxa" w:w="11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
            </w:r>
          </w:p>
        </w:tc>
        <w:tc>
          <w:tcPr>
            <w:tcW w:type="dxa" w:w="2700"/>
            <w:tcBorders>
              <w:top w:val="single" w:color="BFC9D1" w:sz="1"/>
              <w:left w:val="single" w:color="BFC9D1" w:sz="1"/>
              <w:bottom w:val="single" w:color="BFC9D1" w:sz="1"/>
              <w:right w:val="single" w:color="BFC9D1" w:sz="1"/>
            </w:tcBorders>
            <w:shd w:fill="FFFFFF" w:val="clear"/>
            <w:tcMar>
              <w:top w:type="dxa" w:w="80"/>
              <w:left w:type="dxa" w:w="120"/>
              <w:bottom w:type="dxa" w:w="80"/>
              <w:right w:type="dxa" w:w="120"/>
            </w:tcMar>
          </w:tcPr>
          <w:p>
            <w:pPr>
              <w:spacing w:after="0" w:line="260"/>
            </w:pPr>
            <w:r>
              <w:rPr>
                <w:rFonts w:ascii="Calibri" w:cs="Calibri" w:eastAsia="Calibri" w:hAnsi="Calibri"/>
                <w:color w:val="2D2D2D"/>
                <w:sz w:val="20"/>
                <w:szCs w:val="20"/>
              </w:rPr>
              <w:t xml:space="preserve"/>
            </w:r>
          </w:p>
        </w:tc>
      </w:tr>
    </w:tbl>
    <w:p>
      <w:pPr>
        <w:spacing w:after="100"/>
      </w:pPr>
    </w:p>
    <w:p>
      <w:pPr>
        <w:spacing w:after="160" w:line="300"/>
      </w:pPr>
      <w:r>
        <w:rPr>
          <w:rFonts w:ascii="Calibri" w:cs="Calibri" w:eastAsia="Calibri" w:hAnsi="Calibri"/>
          <w:b/>
          <w:bCs/>
          <w:color w:val="2D2D2D"/>
          <w:sz w:val="22"/>
          <w:szCs w:val="22"/>
        </w:rPr>
        <w:t xml:space="preserve">Scoring: </w:t>
      </w:r>
      <w:r>
        <w:rPr>
          <w:rFonts w:ascii="Calibri" w:cs="Calibri" w:eastAsia="Calibri" w:hAnsi="Calibri"/>
          <w:color w:val="2D2D2D"/>
          <w:sz w:val="22"/>
          <w:szCs w:val="22"/>
        </w:rPr>
        <w:t xml:space="preserve">1 = Critical risk, not acceptable. 2 = High risk, significant controls required. 3 = Moderate, manageable with standard controls. 4 = Low risk. 5 = Minimal risk. </w:t>
      </w:r>
      <w:r>
        <w:rPr>
          <w:rFonts w:ascii="Calibri" w:cs="Calibri" w:eastAsia="Calibri" w:hAnsi="Calibri"/>
          <w:b/>
          <w:bCs/>
          <w:color w:val="2D2D2D"/>
          <w:sz w:val="22"/>
          <w:szCs w:val="22"/>
        </w:rPr>
        <w:t xml:space="preserve">Any area scored below 3 requires sign-off from security and legal before the tool is approved. For government engagements, any area scored below 4 should be reviewed with the client’s information assurance team.</w:t>
      </w:r>
    </w:p>
    <w:p>
      <w:pPr>
        <w:spacing w:after="300"/>
      </w:pPr>
    </w:p>
    <w:p>
      <w:pPr>
        <w:pBdr>
          <w:top w:val="single" w:color="2E75B6" w:sz="2" w:space="10"/>
        </w:pBdr>
        <w:spacing w:before="200" w:after="100"/>
        <w:jc w:val="center"/>
      </w:pPr>
      <w:r>
        <w:rPr>
          <w:rFonts w:ascii="Georgia" w:cs="Georgia" w:eastAsia="Georgia" w:hAnsi="Georgia"/>
          <w:i/>
          <w:iCs/>
          <w:color w:val="555555"/>
          <w:sz w:val="20"/>
          <w:szCs w:val="20"/>
        </w:rPr>
        <w:t xml:space="preserve">End of Handbook</w:t>
      </w:r>
    </w:p>
    <w:p>
      <w:pPr>
        <w:jc w:val="center"/>
      </w:pPr>
      <w:r>
        <w:rPr>
          <w:rFonts w:ascii="Calibri" w:cs="Calibri" w:eastAsia="Calibri" w:hAnsi="Calibri"/>
          <w:color w:val="555555"/>
          <w:sz w:val="18"/>
          <w:szCs w:val="18"/>
        </w:rPr>
        <w:t xml:space="preserve">Version 1.0  •  2025  •  Internal Use – Confidential</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7"/>
        <w:szCs w:val="17"/>
      </w:rPr>
      <w:t xml:space="preserve">Page </w:t>
    </w:r>
    <w:r>
      <w:rPr>
        <w:rFonts w:ascii="Calibri" w:cs="Calibri" w:eastAsia="Calibri" w:hAnsi="Calibri"/>
        <w:color w:val="555555"/>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i/>
        <w:iCs/>
        <w:color w:val="555555"/>
        <w:sz w:val="17"/>
        <w:szCs w:val="17"/>
      </w:rPr>
      <w:t xml:space="preserve">Securing AI in Software Testing</w:t>
    </w:r>
    <w:r>
      <w:rPr>
        <w:rFonts w:ascii="Calibri" w:cs="Calibri" w:eastAsia="Calibri" w:hAnsi="Calibri"/>
        <w:color w:val="555555"/>
        <w:sz w:val="17"/>
        <w:szCs w:val="17"/>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Georgia" w:cs="Georgia" w:eastAsia="Georgia" w:hAnsi="Georgia"/>
      <w:b/>
      <w:bCs/>
      <w:color w:val="1B2A4A"/>
      <w:sz w:val="34"/>
      <w:szCs w:val="34"/>
    </w:rPr>
  </w:style>
  <w:style w:type="paragraph" w:styleId="Heading2">
    <w:name w:val="Heading 2"/>
    <w:basedOn w:val="Normal"/>
    <w:next w:val="Normal"/>
    <w:qFormat/>
    <w:pPr>
      <w:spacing w:before="360" w:after="160"/>
      <w:outlineLvl w:val="1"/>
    </w:pPr>
    <w:rPr>
      <w:rFonts w:ascii="Georgia" w:cs="Georgia" w:eastAsia="Georgia" w:hAnsi="Georgia"/>
      <w:b/>
      <w:bCs/>
      <w:color w:val="2E75B6"/>
      <w:sz w:val="27"/>
      <w:szCs w:val="27"/>
    </w:rPr>
  </w:style>
  <w:style w:type="paragraph" w:styleId="Heading3">
    <w:name w:val="Heading 3"/>
    <w:basedOn w:val="Normal"/>
    <w:next w:val="Normal"/>
    <w:qFormat/>
    <w:pPr>
      <w:spacing w:before="240" w:after="120"/>
      <w:outlineLvl w:val="2"/>
    </w:pPr>
    <w:rPr>
      <w:rFonts w:ascii="Georgia" w:cs="Georgia" w:eastAsia="Georgia" w:hAnsi="Georgia"/>
      <w:b/>
      <w:bCs/>
      <w:color w:val="1B2A4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2026-02-24T10:11:05.161Z</dcterms:created>
  <dcterms:modified xsi:type="dcterms:W3CDTF">2026-02-24T10:11:05.162Z</dcterms:modified>
</cp:coreProperties>
</file>

<file path=docProps/custom.xml><?xml version="1.0" encoding="utf-8"?>
<Properties xmlns="http://schemas.openxmlformats.org/officeDocument/2006/custom-properties" xmlns:vt="http://schemas.openxmlformats.org/officeDocument/2006/docPropsVTypes"/>
</file>