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EE6E" w14:textId="77777777" w:rsidR="008F2514" w:rsidRDefault="00000000">
      <w:pPr>
        <w:pStyle w:val="Title"/>
      </w:pPr>
      <w:r>
        <w:t>Approximate Randomization Inference with Cross-Fitted Orthogonal Scores and Few Large Clusters</w:t>
      </w:r>
    </w:p>
    <w:p w14:paraId="6184DE88" w14:textId="77777777" w:rsidR="008F2514" w:rsidRDefault="00000000">
      <w:pPr>
        <w:pStyle w:val="Subtitle"/>
      </w:pPr>
      <w:r>
        <w:t>A note extending Cai, Canay, Kim, and Shaikh (2023)</w:t>
      </w:r>
    </w:p>
    <w:p w14:paraId="4159E8D0" w14:textId="77777777" w:rsidR="008F2514" w:rsidRDefault="00000000">
      <w:r>
        <w:rPr>
          <w:sz w:val="20"/>
        </w:rPr>
        <w:t>October 7, 2026 · Explanatory revision of the author-marked short note</w:t>
      </w:r>
    </w:p>
    <w:p w14:paraId="3145527F" w14:textId="77777777" w:rsidR="008F2514" w:rsidRDefault="00000000">
      <w:r>
        <w:rPr>
          <w:sz w:val="20"/>
        </w:rPr>
        <w:t xml:space="preserve">Authors: [to be determined]. Working draft for possible submission to </w:t>
      </w:r>
      <w:r>
        <w:rPr>
          <w:i/>
          <w:iCs/>
          <w:sz w:val="20"/>
        </w:rPr>
        <w:t>Journal of Econometric Methods</w:t>
      </w:r>
      <w:r>
        <w:rPr>
          <w:sz w:val="20"/>
        </w:rPr>
        <w:t>.</w:t>
      </w:r>
    </w:p>
    <w:p>
      <w:pPr/>
      <w:r>
        <w:rPr>
          <w:b/>
        </w:rPr>
        <w:t>PRELIMINARY - NOT FOR PUBLICATION</w:t>
      </w:r>
    </w:p>
    <w:p w14:paraId="4B7AB14C" w14:textId="77777777" w:rsidR="008F2514" w:rsidRDefault="00000000">
      <w:pPr>
        <w:pStyle w:val="Heading2"/>
      </w:pPr>
      <w:bookmarkStart w:id="0" w:name="abstract"/>
      <w:r>
        <w:rPr>
          <w:sz w:val="22"/>
        </w:rPr>
        <w:t>Abstract</w:t>
      </w:r>
    </w:p>
    <w:p w14:paraId="3CF07E4F" w14:textId="6AC01F25" w:rsidR="008F2514" w:rsidRDefault="003A10FF" w:rsidP="003A10FF">
      <w:r>
        <w:rPr>
          <w:sz w:val="22"/>
        </w:rPr>
        <w:t>Cai, Canay, Kim, and Shaikh (2023) provide a practical way to test hypotheses and construct confidence sets when a study contains only a few clusters. We extend their weighted-score procedure to estimates that use machine learning to adjust for observed characteristics. We predict treatment and outcomes both within a cluster and using information from other clusters. A separate hold-out sample from the cluster chooses how much weight to give each prediction. We establish conditions under which these estimated predictions preserve the test’s validity as the number of observations in each cluster grows, even though the number of clusters stays fixed. Choosing the mixture adds an explicit prediction-error cost but need not require faster learning than local estimation already requires. When individual treatment probabilities are known, the outcome model may remain systematically wrong under the conditions we state. The computational advantage is that we fit the prediction models and choose their weights once, then reuse them for every sign transformation and every hypothesized treatment effect.</w:t>
      </w:r>
    </w:p>
    <w:p w14:paraId="712A8466" w14:textId="77777777" w:rsidR="008F2514" w:rsidRDefault="00000000">
      <w:pPr>
        <w:pStyle w:val="BodyText"/>
      </w:pPr>
      <w:r>
        <w:rPr>
          <w:b/>
          <w:bCs/>
          <w:sz w:val="20"/>
        </w:rPr>
        <w:t>Keywords:</w:t>
      </w:r>
      <w:r>
        <w:rPr>
          <w:sz w:val="20"/>
        </w:rPr>
        <w:t xml:space="preserve"> approximate randomization tests; double/debiased machine learning; few clusters; adaptive pooling. </w:t>
      </w:r>
      <w:r>
        <w:rPr>
          <w:b/>
          <w:bCs/>
          <w:sz w:val="20"/>
        </w:rPr>
        <w:t>JEL:</w:t>
      </w:r>
      <w:r>
        <w:rPr>
          <w:sz w:val="20"/>
        </w:rPr>
        <w:t xml:space="preserve"> C12, C14.</w:t>
      </w:r>
    </w:p>
    <w:p w14:paraId="4CCA5B3B" w14:textId="77777777" w:rsidR="003A10FF" w:rsidRDefault="003A10FF">
      <w:pPr>
        <w:pStyle w:val="Heading2"/>
      </w:pPr>
      <w:r>
        <w:rPr>
          <w:sz w:val="22"/>
        </w:rPr>
        <w:t>1. The problem and our contribution</w:t>
      </w:r>
    </w:p>
    <w:p w14:paraId="5D880712" w14:textId="0A1AC705" w:rsidR="008F2514" w:rsidRDefault="003A10FF">
      <w:r>
        <w:rPr>
          <w:sz w:val="22"/>
        </w:rPr>
        <w:t>The seminal work of Cai, Canay, Kim, and Shaikh (2023) provides the foundation for this note. Their Algorithm 3.1 summarizes each cluster’s evidence about a hypothesized coefficient in a weighted score, then compares the observed evidence with the values obtained by reversing the signs of those scores. We retain their cluster notation and sign-transformation procedure. The underlying result about approximate symmetry is due to Canay, Romano, and Shaikh (2017); the orthogonal-score and cross-fitting framework is from Chernozhukov et al. (2018). We extend this framework rather than propose a new randomization test.</w:t>
      </w:r>
    </w:p>
    <w:p w14:paraId="468431AE" w14:textId="0E26BD65" w:rsidR="008F2514" w:rsidRDefault="00000000">
      <w:pPr>
        <w:pStyle w:val="BodyText"/>
      </w:pPr>
      <w:r>
        <w:rPr>
          <w:sz w:val="22"/>
        </w:rPr>
        <w:t xml:space="preserve">Our additional problem is how to estimate the predictions that enter those scores. Machine learning may capture nonlinear relationships between observed characteristics and treatment or outcomes. However, a separate model for each cluster may be noisy, while a model fitted across clusters may import relationships that do not hold in the cluster being studied. We call the use of observations from other clusters </w:t>
      </w:r>
      <w:r>
        <w:rPr>
          <w:b/>
          <w:sz w:val="22"/>
        </w:rPr>
        <w:t>cross-cluster borrowing</w:t>
      </w:r>
      <w:r>
        <w:rPr>
          <w:sz w:val="22"/>
        </w:rPr>
        <w:t xml:space="preserve">. The </w:t>
      </w:r>
      <w:r>
        <w:rPr>
          <w:b/>
          <w:sz w:val="22"/>
        </w:rPr>
        <w:t>target cluster</w:t>
      </w:r>
      <w:r>
        <w:rPr>
          <w:sz w:val="22"/>
        </w:rPr>
        <w:t xml:space="preserve"> is simply the cluster for which we are making predictions and estimating an effect.</w:t>
      </w:r>
    </w:p>
    <w:p>
      <w:pPr>
        <w:pStyle w:val="BodyText"/>
      </w:pPr>
      <w:r>
        <w:t xml:space="preserve">We combine a local prediction with a prediction that uses other clusters, and let held-out observations from the target cluster choose their weighted average. The combination is </w:t>
      </w:r>
      <w:r>
        <w:rPr>
          <w:b/>
        </w:rPr>
        <w:t>adaptive</w:t>
      </w:r>
      <w:r>
        <w:t xml:space="preserve"> because the amount of borrowing responds to how well the two models predict in that cluster. It can differ across clusters and between treatment and outcome prediction. Existing work on combining prediction models and choosing them by cross-validation motivates this approach (Ahrens et al. 2025; van der Vaart, Dudoit, and van der Laan 2006). Our contribution is the two-predictor error bound and its implication for this few-cluster test, not the general idea of combining models.</w:t>
      </w:r>
    </w:p>
    <w:p>
      <w:pPr>
        <w:pStyle w:val="BodyText"/>
      </w:pPr>
      <w:r>
        <w:t>Unlike cluster-robust DML theory in which the number of clusters grows, such as Chiang et al. (2022), our argument keeps the number of clusters fixed and uses growing samples within each cluster. We show when each estimated cluster score behaves like the score we would calculate if the two true prediction functions were known. This requires a specified model of how observations are related. The baseline assumes independence within clusters; Section 6 permits a limited form of dependence among nearby observations. Neither result permits arbitrary dependence simply because observations carry a cluster label.</w:t>
      </w:r>
    </w:p>
    <w:p w14:paraId="5872A884" w14:textId="77777777" w:rsidR="008F2514" w:rsidRDefault="00000000">
      <w:pPr>
        <w:pStyle w:val="Heading2"/>
      </w:pPr>
      <w:r>
        <w:rPr>
          <w:sz w:val="22"/>
        </w:rPr>
        <w:t>2. What we assume and how we divide the data</w:t>
      </w:r>
    </w:p>
    <w:p>
      <w:pPr>
        <w:pStyle w:val="BodyText"/>
      </w:pPr>
      <w:r>
        <w:t>Consider several hospitals, each with patient-level treatment, outcomes, and pretreatment characteristics. This is an illustration of the sampling model, not an empirical application. The treatment must vary within each hospital after adjusting for those characteristics. The model allows the prediction relationships to differ across hospitals but assumes the same treatment coefficient in all of them.</w:t>
      </w:r>
    </w:p>
    <w:p w14:paraId="41B7B4A8" w14:textId="77777777" w:rsidR="008F2514" w:rsidRDefault="00000000">
      <w:pPr>
        <w:keepNext/>
        <w:keepLines/>
      </w:pPr>
      <w:r>
        <w:rPr>
          <w:sz w:val="22"/>
        </w:rPr>
        <w:t xml:space="preserve">Following Cai et al., index clusters by </w:t>
      </w:r>
      <m:oMath>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oMath>
      <w:r>
        <w:rPr>
          <w:sz w:val="22"/>
        </w:rPr>
        <w:t xml:space="preserve"> and observations within a cluster by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sz w:val="22"/>
        </w:rPr>
        <w:t xml:space="preserve">. We hold the number of clusters </w:t>
      </w:r>
      <m:oMath>
        <m:r>
          <w:rPr>
            <w:rFonts w:ascii="Cambria Math" w:hAnsi="Cambria Math"/>
          </w:rPr>
          <m:t>q</m:t>
        </m:r>
      </m:oMath>
      <w:r>
        <w:rPr>
          <w:sz w:val="22"/>
        </w:rPr>
        <w:t xml:space="preserve"> fixed and let </w:t>
      </w:r>
      <m:oMath>
        <m:sSub>
          <m:sSubPr>
            <m:ctrlPr>
              <w:rPr>
                <w:rFonts w:ascii="Cambria Math" w:hAnsi="Cambria Math"/>
              </w:rPr>
            </m:ctrlPr>
          </m:sSubPr>
          <m:e>
            <m:r>
              <m:rPr>
                <m:sty m:val="p"/>
              </m:rPr>
              <w:rPr>
                <w:rFonts w:ascii="Cambria Math" w:hAnsi="Cambria Math"/>
              </w:rPr>
              <m:t>min</m:t>
            </m:r>
          </m:e>
          <m:sub>
            <m:r>
              <w:rPr>
                <w:rFonts w:ascii="Cambria Math" w:hAnsi="Cambria Math"/>
              </w:rPr>
              <m:t>j</m:t>
            </m:r>
          </m:sub>
        </m:sSub>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sz w:val="22"/>
        </w:rPr>
        <w:t>: every cluster’s sample grows, but we do not obtain more independent clusters. Write Y for the outcome, D for treatment, and X for the observed controls. The partially linear model is</w:t>
      </w:r>
    </w:p>
    <w:p w14:paraId="3F9A6FAB" w14:textId="77777777" w:rsidR="008F2514" w:rsidRDefault="00000000">
      <w:pPr>
        <w:pStyle w:val="BodyText"/>
        <w:keepLines/>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r>
                <m:rPr>
                  <m:sty m:val="p"/>
                </m:rPr>
                <w:rPr>
                  <w:rFonts w:ascii="Cambria Math" w:hAnsi="Cambria Math"/>
                </w:rPr>
                <m:t>,</m:t>
              </m:r>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j</m:t>
              </m:r>
            </m:sub>
          </m:sSub>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22BAB669" w14:textId="77777777" w:rsidR="008F2514" w:rsidRDefault="00000000">
      <w:r>
        <w:rPr>
          <w:sz w:val="22"/>
        </w:rPr>
        <w:t xml:space="preserve">The coefficient </w:t>
      </w:r>
      <m:oMath>
        <m:sSub>
          <m:sSubPr>
            <m:ctrlPr>
              <w:rPr>
                <w:rFonts w:ascii="Cambria Math" w:hAnsi="Cambria Math"/>
              </w:rPr>
            </m:ctrlPr>
          </m:sSubPr>
          <m:e>
            <m:r>
              <w:rPr>
                <w:rFonts w:ascii="Cambria Math" w:hAnsi="Cambria Math"/>
              </w:rPr>
              <m:t>θ</m:t>
            </m:r>
          </m:e>
          <m:sub>
            <m:r>
              <w:rPr>
                <w:rFonts w:ascii="Cambria Math" w:hAnsi="Cambria Math"/>
              </w:rPr>
              <m:t>0</m:t>
            </m:r>
          </m:sub>
        </m:sSub>
      </m:oMath>
      <w:r>
        <w:rPr>
          <w:sz w:val="22"/>
        </w:rPr>
        <w:t xml:space="preserve"> is the treatment effect assumed common across clusters. The function </w:t>
      </w:r>
      <m:oMath>
        <m:sSub>
          <m:sSubPr>
            <m:ctrlPr>
              <w:rPr>
                <w:rFonts w:ascii="Cambria Math" w:hAnsi="Cambria Math"/>
              </w:rPr>
            </m:ctrlPr>
          </m:sSubPr>
          <m:e>
            <m:r>
              <w:rPr>
                <w:rFonts w:ascii="Cambria Math" w:hAnsi="Cambria Math"/>
              </w:rPr>
              <m:t>m</m:t>
            </m:r>
          </m:e>
          <m:sub>
            <m:r>
              <w:rPr>
                <w:rFonts w:ascii="Cambria Math" w:hAnsi="Cambria Math"/>
              </w:rPr>
              <m:t>0</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d>
          <m:dPr>
            <m:begChr m:val="["/>
            <m:endChr m:val="]"/>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oMath>
      <w:r>
        <w:rPr>
          <w:sz w:val="22"/>
        </w:rPr>
        <w:t xml:space="preserve"> predicts treatment from the controls;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oMath>
      <w:r>
        <w:rPr>
          <w:sz w:val="22"/>
        </w:rPr>
        <w:t xml:space="preserve"> predicts the outcome from the same controls. For binary treatment, the first prediction is a treatment probability. The residual </w:t>
      </w:r>
      <m:oMath>
        <m:r>
          <w:rPr>
            <w:rFonts w:ascii="Cambria Math" w:hAnsi="Cambria Math"/>
          </w:rPr>
          <m:t>V</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X</m:t>
            </m:r>
          </m:e>
        </m:d>
      </m:oMath>
      <w:r>
        <w:rPr>
          <w:sz w:val="22"/>
        </w:rPr>
        <w:t xml:space="preserve"> is the part of treatment not predicted by the controls. We require </w:t>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2</m:t>
                </m:r>
              </m:sup>
            </m:sSup>
          </m:e>
        </m:d>
        <m:r>
          <m:rPr>
            <m:sty m:val="p"/>
          </m:rPr>
          <w:rPr>
            <w:rFonts w:ascii="Cambria Math" w:hAnsi="Cambria Math"/>
          </w:rPr>
          <m:t>&gt;</m:t>
        </m:r>
        <m:r>
          <w:rPr>
            <w:rFonts w:ascii="Cambria Math" w:hAnsi="Cambria Math"/>
          </w:rPr>
          <m:t>0</m:t>
        </m:r>
      </m:oMath>
      <w:r>
        <w:rPr>
          <w:sz w:val="22"/>
        </w:rPr>
        <w:t xml:space="preserve">, meaning that some residual treatment variation remains within every cluster. The model gives </w:t>
      </w:r>
      <m:oMath>
        <m:r>
          <w:rPr>
            <w:rFonts w:ascii="Cambria Math" w:hAnsi="Cambria Math"/>
          </w:rPr>
          <m:t>Y</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V</m:t>
        </m:r>
        <m:r>
          <m:rPr>
            <m:sty m:val="p"/>
          </m:rPr>
          <w:rPr>
            <w:rFonts w:ascii="Cambria Math" w:hAnsi="Cambria Math"/>
          </w:rPr>
          <m:t>=</m:t>
        </m:r>
        <m:r>
          <w:rPr>
            <w:rFonts w:ascii="Cambria Math" w:hAnsi="Cambria Math"/>
          </w:rPr>
          <m:t>U</m:t>
        </m:r>
      </m:oMath>
      <w:r>
        <w:rPr>
          <w:sz w:val="22"/>
        </w:rPr>
        <w:t>. Both prediction functions and the distribution of patient characteristics may differ across clusters.</w:t>
      </w:r>
    </w:p>
    <w:p>
      <w:pPr>
        <w:pStyle w:val="BodyText"/>
      </w:pPr>
      <w:r>
        <w:t xml:space="preserve">The restriction on the mean of U in (1) is an identification assumption, not something machine learning establishes: after accounting for the controls and treatment, the remaining outcome error has mean zero. It rules out remaining selection into treatment that is systematically related to the unobserved outcome determinants in this model. Flexible prediction cannot repair a failure of this assumption. We call the treatment and outcome regressions </w:t>
      </w:r>
      <w:r>
        <w:rPr>
          <w:b/>
        </w:rPr>
        <w:t>nuisance functions</w:t>
      </w:r>
      <w:r>
        <w:t xml:space="preserve"> because they help estimate the treatment effect but are not the effect of primary interest.</w:t>
      </w:r>
    </w:p>
    <w:p w14:paraId="6FF491F7" w14:textId="77777777" w:rsidR="008F2514" w:rsidRDefault="00000000">
      <w:pPr>
        <w:pStyle w:val="BodyText"/>
      </w:pPr>
      <w:r>
        <w:rPr>
          <w:b/>
          <w:bCs/>
          <w:sz w:val="22"/>
        </w:rPr>
        <w:t>Assumption A.</w:t>
      </w:r>
      <w:r>
        <w:rPr>
          <w:sz w:val="22"/>
        </w:rPr>
        <w:t xml:space="preserve"> Clusters are independent; within each cluster observations are independent and identically distributed. For some </w:t>
      </w:r>
      <m:oMath>
        <m:r>
          <w:rPr>
            <w:rFonts w:ascii="Cambria Math" w:hAnsi="Cambria Math"/>
          </w:rPr>
          <m:t>δ</m:t>
        </m:r>
        <m:r>
          <m:rPr>
            <m:sty m:val="p"/>
          </m:rPr>
          <w:rPr>
            <w:rFonts w:ascii="Cambria Math" w:hAnsi="Cambria Math"/>
          </w:rPr>
          <m:t>&gt;</m:t>
        </m:r>
        <m:r>
          <w:rPr>
            <w:rFonts w:ascii="Cambria Math" w:hAnsi="Cambria Math"/>
          </w:rPr>
          <m:t>0</m:t>
        </m:r>
      </m:oMath>
      <w:r>
        <w:rPr>
          <w:sz w:val="22"/>
        </w:rPr>
        <w:t xml:space="preserve">, </w:t>
      </w:r>
      <m:oMath>
        <m:sSub>
          <m:sSubPr>
            <m:ctrlPr>
              <w:rPr>
                <w:rFonts w:ascii="Cambria Math" w:hAnsi="Cambria Math"/>
              </w:rPr>
            </m:ctrlPr>
          </m:sSubPr>
          <m:e>
            <m:r>
              <w:rPr>
                <w:rFonts w:ascii="Cambria Math" w:hAnsi="Cambria Math"/>
              </w:rPr>
              <m:t>E</m:t>
            </m:r>
          </m:e>
          <m:sub>
            <m:r>
              <w:rPr>
                <w:rFonts w:ascii="Cambria Math" w:hAnsi="Cambria Math"/>
              </w:rPr>
              <m:t>j</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VU</m:t>
                </m:r>
              </m:e>
            </m:d>
          </m:e>
          <m:sup>
            <m:r>
              <w:rPr>
                <w:rFonts w:ascii="Cambria Math" w:hAnsi="Cambria Math"/>
              </w:rPr>
              <m:t>2</m:t>
            </m:r>
            <m:r>
              <m:rPr>
                <m:sty m:val="p"/>
              </m:rPr>
              <w:rPr>
                <w:rFonts w:ascii="Cambria Math" w:hAnsi="Cambria Math"/>
              </w:rPr>
              <m:t>+</m:t>
            </m:r>
            <m:r>
              <w:rPr>
                <w:rFonts w:ascii="Cambria Math" w:hAnsi="Cambria Math"/>
              </w:rPr>
              <m:t>δ</m:t>
            </m:r>
          </m:sup>
        </m:sSup>
        <m:r>
          <m:rPr>
            <m:sty m:val="p"/>
          </m:rPr>
          <w:rPr>
            <w:rFonts w:ascii="Cambria Math" w:hAnsi="Cambria Math"/>
          </w:rPr>
          <m:t>&lt;∞</m:t>
        </m:r>
      </m:oMath>
      <w:r>
        <w:rPr>
          <w:sz w:val="22"/>
        </w:rPr>
        <w:t xml:space="preserve">, </w:t>
      </w:r>
      <m:oMath>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2</m:t>
                </m:r>
              </m:sup>
            </m:sSup>
            <m:sSup>
              <m:sSupPr>
                <m:ctrlPr>
                  <w:rPr>
                    <w:rFonts w:ascii="Cambria Math" w:hAnsi="Cambria Math"/>
                  </w:rPr>
                </m:ctrlPr>
              </m:sSupPr>
              <m:e>
                <m:r>
                  <w:rPr>
                    <w:rFonts w:ascii="Cambria Math" w:hAnsi="Cambria Math"/>
                  </w:rPr>
                  <m:t>U</m:t>
                </m:r>
              </m:e>
              <m:sup>
                <m:r>
                  <w:rPr>
                    <w:rFonts w:ascii="Cambria Math" w:hAnsi="Cambria Math"/>
                  </w:rPr>
                  <m:t>2</m:t>
                </m:r>
              </m:sup>
            </m:sSup>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e>
        </m:d>
      </m:oMath>
      <w:r>
        <w:rPr>
          <w:sz w:val="22"/>
        </w:rPr>
        <w:t xml:space="preserve">, and </w:t>
      </w:r>
      <m:oMath>
        <m:sSub>
          <m:sSubPr>
            <m:ctrlPr>
              <w:rPr>
                <w:rFonts w:ascii="Cambria Math" w:hAnsi="Cambria Math"/>
              </w:rPr>
            </m:ctrlPr>
          </m:sSubPr>
          <m:e>
            <m:r>
              <w:rPr>
                <w:rFonts w:ascii="Cambria Math" w:hAnsi="Cambria Math"/>
              </w:rPr>
              <m:t>E</m:t>
            </m:r>
          </m:e>
          <m:sub>
            <m:r>
              <w:rPr>
                <w:rFonts w:ascii="Cambria Math" w:hAnsi="Cambria Math"/>
              </w:rPr>
              <m:t>j</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X</m:t>
            </m:r>
          </m:e>
        </m:d>
      </m:oMath>
      <w:r>
        <w:rPr>
          <w:sz w:val="22"/>
        </w:rPr>
        <w:t xml:space="preserve"> and </w:t>
      </w:r>
      <m:oMath>
        <m:sSub>
          <m:sSubPr>
            <m:ctrlPr>
              <w:rPr>
                <w:rFonts w:ascii="Cambria Math" w:hAnsi="Cambria Math"/>
              </w:rPr>
            </m:ctrlPr>
          </m:sSubPr>
          <m:e>
            <m:r>
              <w:rPr>
                <w:rFonts w:ascii="Cambria Math" w:hAnsi="Cambria Math"/>
              </w:rPr>
              <m:t>E</m:t>
            </m:r>
          </m:e>
          <m:sub>
            <m:r>
              <w:rPr>
                <w:rFonts w:ascii="Cambria Math" w:hAnsi="Cambria Math"/>
              </w:rPr>
              <m:t>j</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X</m:t>
            </m:r>
          </m:e>
        </m:d>
      </m:oMath>
      <w:r>
        <w:rPr>
          <w:sz w:val="22"/>
        </w:rPr>
        <w:t xml:space="preserve"> are bounded. Section 6 states a separate dependence extension.</w:t>
      </w:r>
    </w:p>
    <w:p>
      <w:pPr>
        <w:pStyle w:val="BodyText"/>
      </w:pPr>
      <w:r>
        <w:rPr>
          <w:b/>
        </w:rPr>
        <w:t>What Assumption A requires in practice.</w:t>
      </w:r>
      <w:r>
        <w:t xml:space="preserve"> Within a hospital, the baseline treats patients as independent draws from that hospital’s distribution. Hospitals can have different distributions, but an unmodeled random shock that moves many patients’ outcomes together is not covered by this baseline. The moment restrictions control extreme observations: the product of treatment and outcome errors must have a finite moment slightly above its second moment, and their conditional second moments must not grow without bound for some patient types. The positive score variance excludes a degenerate case with no sampling variation. These are substantive restrictions, not consequences of fitting a flexible model.</w:t>
      </w:r>
    </w:p>
    <w:p>
      <w:pPr>
        <w:pStyle w:val="BodyText"/>
      </w:pPr>
      <w:r>
        <w:t xml:space="preserve">We keep three uses of the data separate. </w:t>
      </w:r>
      <w:r>
        <w:rPr>
          <w:b/>
        </w:rPr>
        <w:t>Base training</w:t>
      </w:r>
      <w:r>
        <w:t xml:space="preserve"> fits the two competing models. </w:t>
      </w:r>
      <w:r>
        <w:rPr>
          <w:b/>
        </w:rPr>
        <w:t>Calibration</w:t>
      </w:r>
      <w:r>
        <w:t xml:space="preserve"> chooses their mixture using held-out observations from the target cluster. </w:t>
      </w:r>
      <w:r>
        <w:rPr>
          <w:b/>
        </w:rPr>
        <w:t>Score evaluation</w:t>
      </w:r>
      <w:r>
        <w:t xml:space="preserve"> uses another held-out group to estimate the treatment effect and calculate the cluster’s evidence for the hypothesis test. A calibration observation may choose the mixture, but it must not help fit either model that it is judging.</w:t>
      </w:r>
    </w:p>
    <w:p w14:paraId="149096F0" w14:textId="77777777" w:rsidR="008F2514" w:rsidRDefault="00000000">
      <w:pPr>
        <w:pStyle w:val="BodyText"/>
      </w:pPr>
      <w:r>
        <w:rPr>
          <w:sz w:val="22"/>
        </w:rPr>
        <w:t xml:space="preserve">Divide each cluster into a fixed number </w:t>
      </w:r>
      <m:oMath>
        <m:r>
          <w:rPr>
            <w:rFonts w:ascii="Cambria Math" w:hAnsi="Cambria Math"/>
          </w:rPr>
          <m:t>K</m:t>
        </m:r>
        <m:r>
          <m:rPr>
            <m:sty m:val="p"/>
          </m:rPr>
          <w:rPr>
            <w:rFonts w:ascii="Cambria Math" w:hAnsi="Cambria Math"/>
          </w:rPr>
          <m:t>≥</m:t>
        </m:r>
        <m:r>
          <w:rPr>
            <w:rFonts w:ascii="Cambria Math" w:hAnsi="Cambria Math"/>
          </w:rPr>
          <m:t>2</m:t>
        </m:r>
      </m:oMath>
      <w:r>
        <w:rPr>
          <w:sz w:val="22"/>
        </w:rPr>
        <w:t xml:space="preserve"> of roughly equal evaluation groups, called </w:t>
      </w:r>
      <w:r>
        <w:rPr>
          <w:b/>
          <w:sz w:val="22"/>
        </w:rPr>
        <w:t>folds</w:t>
      </w:r>
      <w:r>
        <w:rPr>
          <w:sz w:val="22"/>
        </w:rPr>
        <w:t>, using a split chosen independently of the data. For each fold, fit all predictions without that fold’s observations. This exclusion includes preprocessing, tuning, choosing which other clusters to use, and choosing pooling weights. A convenient design also excludes the same-numbered evaluation fold from every other cluster. Different fitted models may still share training observations; the proof does not assume that the fitted models are independent.</w:t>
      </w:r>
    </w:p>
    <w:p w14:paraId="09FB1F60" w14:textId="77777777" w:rsidR="008F2514" w:rsidRDefault="00000000">
      <w:pPr>
        <w:pStyle w:val="BodyText"/>
      </w:pPr>
      <w:r>
        <w:rPr>
          <w:sz w:val="22"/>
        </w:rPr>
        <w:t xml:space="preserve">The simple rotating pooling design needs </w:t>
      </w:r>
      <m:oMath>
        <m:r>
          <w:rPr>
            <w:rFonts w:ascii="Cambria Math" w:hAnsi="Cambria Math"/>
          </w:rPr>
          <m:t>K</m:t>
        </m:r>
        <m:r>
          <m:rPr>
            <m:sty m:val="p"/>
          </m:rPr>
          <w:rPr>
            <w:rFonts w:ascii="Cambria Math" w:hAnsi="Cambria Math"/>
          </w:rPr>
          <m:t>≥</m:t>
        </m:r>
        <m:r>
          <w:rPr>
            <w:rFonts w:ascii="Cambria Math" w:hAnsi="Cambria Math"/>
          </w:rPr>
          <m:t>3</m:t>
        </m:r>
      </m:oMath>
      <w:r>
        <w:rPr>
          <w:sz w:val="22"/>
        </w:rPr>
        <w:t xml:space="preserve">, because fitting, calibration, and scoring need distinct observations. To score fold </w:t>
      </w:r>
      <m:oMath>
        <m:r>
          <w:rPr>
            <w:rFonts w:ascii="Cambria Math" w:hAnsi="Cambria Math"/>
          </w:rPr>
          <m:t>k</m:t>
        </m:r>
      </m:oMath>
      <w:r>
        <w:rPr>
          <w:sz w:val="22"/>
        </w:rPr>
        <w:t xml:space="preserve">, use fold </w:t>
      </w:r>
      <m:oMath>
        <m:r>
          <w:rPr>
            <w:rFonts w:ascii="Cambria Math" w:hAnsi="Cambria Math"/>
          </w:rPr>
          <m:t>k</m:t>
        </m:r>
        <m:r>
          <m:rPr>
            <m:sty m:val="p"/>
          </m:rPr>
          <w:rPr>
            <w:rFonts w:ascii="Cambria Math" w:hAnsi="Cambria Math"/>
          </w:rPr>
          <m:t>+</m:t>
        </m:r>
        <m:r>
          <w:rPr>
            <w:rFonts w:ascii="Cambria Math" w:hAnsi="Cambria Math"/>
          </w:rPr>
          <m:t>1</m:t>
        </m:r>
      </m:oMath>
      <w:r>
        <w:rPr>
          <w:sz w:val="22"/>
        </w:rPr>
        <w:t xml:space="preserve"> for calibration, wrapping back to fold 1 after fold </w:t>
      </w:r>
      <m:oMath>
        <m:r>
          <w:rPr>
            <w:rFonts w:ascii="Cambria Math" w:hAnsi="Cambria Math"/>
          </w:rPr>
          <m:t>K</m:t>
        </m:r>
      </m:oMath>
      <w:r>
        <w:rPr>
          <w:sz w:val="22"/>
        </w:rPr>
        <w:t xml:space="preserve">. Fit the candidate models on the remaining target-cluster folds and permitted observations from other clusters. Repeat until each observation has served as an evaluation observation. This uses approximately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K</m:t>
            </m:r>
          </m:e>
        </m:d>
        <m:sSub>
          <m:sSubPr>
            <m:ctrlPr>
              <w:rPr>
                <w:rFonts w:ascii="Cambria Math" w:hAnsi="Cambria Math"/>
              </w:rPr>
            </m:ctrlPr>
          </m:sSubPr>
          <m:e>
            <m:r>
              <w:rPr>
                <w:rFonts w:ascii="Cambria Math" w:hAnsi="Cambria Math"/>
              </w:rPr>
              <m:t>n</m:t>
            </m:r>
          </m:e>
          <m:sub>
            <m:r>
              <w:rPr>
                <w:rFonts w:ascii="Cambria Math" w:hAnsi="Cambria Math"/>
              </w:rPr>
              <m:t>j</m:t>
            </m:r>
          </m:sub>
        </m:sSub>
      </m:oMath>
      <w:r>
        <w:rPr>
          <w:sz w:val="22"/>
        </w:rPr>
        <w:t xml:space="preserve"> target observations for each local fit, rather than ordinary DML’s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e>
        </m:d>
        <m:sSub>
          <m:sSubPr>
            <m:ctrlPr>
              <w:rPr>
                <w:rFonts w:ascii="Cambria Math" w:hAnsi="Cambria Math"/>
              </w:rPr>
            </m:ctrlPr>
          </m:sSubPr>
          <m:e>
            <m:r>
              <w:rPr>
                <w:rFonts w:ascii="Cambria Math" w:hAnsi="Cambria Math"/>
              </w:rPr>
              <m:t>n</m:t>
            </m:r>
          </m:e>
          <m:sub>
            <m:r>
              <w:rPr>
                <w:rFonts w:ascii="Cambria Math" w:hAnsi="Cambria Math"/>
              </w:rPr>
              <m:t>j</m:t>
            </m:r>
          </m:sub>
        </m:sSub>
      </m:oMath>
      <w:r>
        <w:rPr>
          <w:sz w:val="22"/>
        </w:rPr>
        <w:t>.</w:t>
      </w:r>
    </w:p>
    <w:p>
      <w:pPr>
        <w:pStyle w:val="BodyText"/>
      </w:pPr>
      <w:r>
        <w:t>For example, with 200 observations and five equal folds, one rotation uses 120 target observations to fit models, 40 to choose the mixture, and 40 to calculate scores. In the next rotation the roles change. Every observation eventually contributes a score, but the additional calibration group still reduces the data available for each local fit. A smaller calibration share can also be used when it satisfies Proposition 2’s sample-size condition; these allocations are design choices, not proved optimal splits.</w:t>
      </w:r>
    </w:p>
    <w:p w14:paraId="01EF6378" w14:textId="77777777" w:rsidR="008F2514" w:rsidRDefault="00000000">
      <w:pPr>
        <w:pStyle w:val="Heading2"/>
      </w:pPr>
      <w:r>
        <w:rPr>
          <w:sz w:val="22"/>
        </w:rPr>
        <w:t>3. From adjusted predictions to a few-cluster test</w:t>
      </w:r>
    </w:p>
    <w:p>
      <w:pPr>
        <w:pStyle w:val="BodyText"/>
      </w:pPr>
      <w:r>
        <w:t>Once the predictions are fitted, subtract predicted treatment from actual treatment and predicted outcome from actual outcome. Within each cluster, regress the remaining outcome variation on the remaining treatment variation, through the origin. This produces the cluster-specific estimate below. For a hypothesized effect, the cluster’s score summarizes whether the adjusted data favor an effect above or below that value.</w:t>
      </w:r>
    </w:p>
    <w:p w14:paraId="57C7B1E8" w14:textId="77777777" w:rsidR="008F2514" w:rsidRDefault="00000000">
      <w:pPr>
        <w:keepNext/>
        <w:keepLines/>
      </w:pPr>
      <w:r>
        <w:rPr>
          <w:sz w:val="22"/>
        </w:rPr>
        <w:t xml:space="preserve">Let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j</m:t>
            </m:r>
            <m:r>
              <m:rPr>
                <m:sty m:val="p"/>
              </m:rPr>
              <w:rPr>
                <w:rFonts w:ascii="Cambria Math" w:hAnsi="Cambria Math"/>
              </w:rPr>
              <m:t>,-</m:t>
            </m:r>
            <m:r>
              <w:rPr>
                <w:rFonts w:ascii="Cambria Math" w:hAnsi="Cambria Math"/>
              </w:rPr>
              <m:t>k</m:t>
            </m:r>
          </m:sub>
        </m:sSub>
      </m:oMath>
      <w:r>
        <w:rPr>
          <w:sz w:val="22"/>
        </w:rPr>
        <w:t xml:space="preserve"> and </w:t>
      </w:r>
      <m:oMath>
        <m:sSub>
          <m:sSubPr>
            <m:ctrlPr>
              <w:rPr>
                <w:rFonts w:ascii="Cambria Math" w:hAnsi="Cambria Math"/>
              </w:rPr>
            </m:ctrlPr>
          </m:sSubPr>
          <m:e>
            <m:acc>
              <m:accPr>
                <m:ctrlPr>
                  <w:rPr>
                    <w:rFonts w:ascii="Cambria Math" w:hAnsi="Cambria Math"/>
                  </w:rPr>
                </m:ctrlPr>
              </m:accPr>
              <m:e>
                <m:r>
                  <m:rPr>
                    <m:scr m:val="script"/>
                    <m:sty m:val="p"/>
                  </m:rPr>
                  <w:rPr>
                    <w:rFonts w:ascii="Cambria Math" w:hAnsi="Cambria Math"/>
                  </w:rPr>
                  <m:t>l</m:t>
                </m:r>
              </m:e>
            </m:acc>
          </m:e>
          <m:sub>
            <m:r>
              <w:rPr>
                <w:rFonts w:ascii="Cambria Math" w:hAnsi="Cambria Math"/>
              </w:rPr>
              <m:t>j</m:t>
            </m:r>
            <m:r>
              <m:rPr>
                <m:sty m:val="p"/>
              </m:rPr>
              <w:rPr>
                <w:rFonts w:ascii="Cambria Math" w:hAnsi="Cambria Math"/>
              </w:rPr>
              <m:t>,-</m:t>
            </m:r>
            <m:r>
              <w:rPr>
                <w:rFonts w:ascii="Cambria Math" w:hAnsi="Cambria Math"/>
              </w:rPr>
              <m:t>k</m:t>
            </m:r>
          </m:sub>
        </m:sSub>
      </m:oMath>
      <w:r>
        <w:rPr>
          <w:sz w:val="22"/>
        </w:rPr>
        <w:t xml:space="preserve"> be the final treatment and outcome predictors for evaluation fold </w:t>
      </w:r>
      <m:oMath>
        <m:r>
          <w:rPr>
            <w:rFonts w:ascii="Cambria Math" w:hAnsi="Cambria Math"/>
          </w:rPr>
          <m:t>k</m:t>
        </m:r>
      </m:oMath>
      <w:r>
        <w:rPr>
          <w:sz w:val="22"/>
        </w:rPr>
        <w:t xml:space="preserve">, after choosing any pooling weights. The adjusted observations are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j</m:t>
            </m:r>
            <m:r>
              <m:rPr>
                <m:sty m:val="p"/>
              </m:rPr>
              <w:rPr>
                <w:rFonts w:ascii="Cambria Math" w:hAnsi="Cambria Math"/>
              </w:rPr>
              <m:t>,-</m:t>
            </m:r>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e>
        </m:d>
      </m:oMath>
      <w:r>
        <w:rPr>
          <w:sz w:val="22"/>
        </w:rP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cr m:val="script"/>
                    <m:sty m:val="p"/>
                  </m:rPr>
                  <w:rPr>
                    <w:rFonts w:ascii="Cambria Math" w:hAnsi="Cambria Math"/>
                  </w:rPr>
                  <m:t>l</m:t>
                </m:r>
              </m:e>
            </m:acc>
          </m:e>
          <m:sub>
            <m:r>
              <w:rPr>
                <w:rFonts w:ascii="Cambria Math" w:hAnsi="Cambria Math"/>
              </w:rPr>
              <m:t>j</m:t>
            </m:r>
            <m:r>
              <m:rPr>
                <m:sty m:val="p"/>
              </m:rPr>
              <w:rPr>
                <w:rFonts w:ascii="Cambria Math" w:hAnsi="Cambria Math"/>
              </w:rPr>
              <m:t>,-</m:t>
            </m:r>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j</m:t>
                </m:r>
              </m:sub>
            </m:sSub>
          </m:e>
        </m:d>
      </m:oMath>
      <w:r>
        <w:rPr>
          <w:sz w:val="22"/>
        </w:rPr>
        <w:t>. The average squared treatment residual and the cluster-specific effect estimate are</w:t>
      </w:r>
    </w:p>
    <w:p w14:paraId="2300FDC8" w14:textId="77777777" w:rsidR="008F2514" w:rsidRDefault="00000000">
      <w:pPr>
        <w:pStyle w:val="BodyText"/>
        <w:keepLines/>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j</m:t>
              </m:r>
            </m:sub>
            <m:sup>
              <m:r>
                <m:rPr>
                  <m:sty m:val="p"/>
                </m:rPr>
                <w:rPr>
                  <w:rFonts w:ascii="Cambria Math" w:hAnsi="Cambria Math"/>
                </w:rPr>
                <m:t>-</m:t>
              </m:r>
              <m:r>
                <w:rPr>
                  <w:rFonts w:ascii="Cambria Math" w:hAnsi="Cambria Math"/>
                </w:rPr>
                <m:t>1</m:t>
              </m:r>
            </m:sup>
          </m:sSub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 2</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r>
                        <m:rPr>
                          <m:sty m:val="p"/>
                        </m:rPr>
                        <w:rPr>
                          <w:rFonts w:ascii="Cambria Math" w:hAnsi="Cambria Math"/>
                        </w:rPr>
                        <m:t>,</m:t>
                      </m:r>
                      <m:r>
                        <w:rPr>
                          <w:rFonts w:ascii="Cambria Math" w:hAnsi="Cambria Math"/>
                        </w:rPr>
                        <m:t>j</m:t>
                      </m:r>
                    </m:sub>
                  </m:sSub>
                </m:e>
              </m:nary>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 2</m:t>
                      </m:r>
                    </m:sup>
                  </m:sSubSup>
                </m:e>
              </m:nary>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7814ACBB" w14:textId="77777777" w:rsidR="008F2514" w:rsidRDefault="00000000">
      <w:pPr>
        <w:keepNext/>
        <w:keepLines/>
      </w:pPr>
      <w:r>
        <w:rPr>
          <w:sz w:val="22"/>
        </w:rPr>
        <w:t xml:space="preserve">To test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λ</m:t>
        </m:r>
      </m:oMath>
      <w:r>
        <w:rPr>
          <w:sz w:val="22"/>
        </w:rPr>
        <w:t>, where λ is the hypothesized treatment effect, calculate the weighted cluster score</w:t>
      </w:r>
    </w:p>
    <w:p w14:paraId="4C338249" w14:textId="77777777" w:rsidR="008F2514" w:rsidRDefault="00000000">
      <w:pPr>
        <w:pStyle w:val="BodyText"/>
        <w:keepLines/>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λ</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w:rPr>
                  <w:rFonts w:ascii="Cambria Math" w:hAnsi="Cambria Math"/>
                </w:rPr>
                <m:t>n</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n</m:t>
              </m:r>
            </m:e>
            <m:sub>
              <m:r>
                <w:rPr>
                  <w:rFonts w:ascii="Cambria Math" w:hAnsi="Cambria Math"/>
                </w:rPr>
                <m:t>j</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r>
                    <m:rPr>
                      <m:sty m:val="p"/>
                    </m:rPr>
                    <w:rPr>
                      <w:rFonts w:ascii="Cambria Math" w:hAnsi="Cambria Math"/>
                    </w:rPr>
                    <m:t>,</m:t>
                  </m:r>
                  <m:r>
                    <w:rPr>
                      <w:rFonts w:ascii="Cambria Math" w:hAnsi="Cambria Math"/>
                    </w:rPr>
                    <m:t>j</m:t>
                  </m:r>
                </m:sub>
              </m:sSub>
            </m:e>
          </m:nary>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λ</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r>
                    <m:rPr>
                      <m:sty m:val="p"/>
                    </m:rPr>
                    <w:rPr>
                      <w:rFonts w:ascii="Cambria Math" w:hAnsi="Cambria Math"/>
                    </w:rPr>
                    <m:t>,</m:t>
                  </m:r>
                  <m:r>
                    <w:rPr>
                      <w:rFonts w:ascii="Cambria Math" w:hAnsi="Cambria Math"/>
                    </w:rPr>
                    <m:t>j</m:t>
                  </m:r>
                </m:sub>
              </m:sSub>
            </m:e>
          </m: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j</m:t>
                  </m:r>
                </m:sub>
              </m:sSub>
            </m:e>
          </m:rad>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λ</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6F1A0A33" w14:textId="77777777" w:rsidR="008F2514" w:rsidRDefault="00000000">
      <w:r>
        <w:rPr>
          <w:sz w:val="22"/>
        </w:rPr>
        <w:t>The right-hand side of (3) gives a direct interpretation: the score is the cluster’s estimated effect minus the hypothesized effect, multiplied by the square root of its sample size. The identity parallels Cai et al.’s equation (19). It does not say that machine-learning residuals reproduce their original ordinary least-squares regression. If a denominator in (2) is zero, this fit cannot supply the required within-cluster estimate, and the procedure reports that failure rather than a p-value.</w:t>
      </w:r>
    </w:p>
    <w:p w14:paraId="55064501" w14:textId="77777777" w:rsidR="008F2514" w:rsidRDefault="00000000">
      <w:pPr>
        <w:pStyle w:val="BodyText"/>
        <w:keepNext/>
        <w:keepLines/>
      </w:pPr>
      <w:r>
        <w:rPr>
          <w:sz w:val="22"/>
        </w:rPr>
        <w:t xml:space="preserve">Keep each score’s magnitude and reverse its sign or leave it unchanged. A sign vector </w:t>
      </w:r>
      <m:oMath>
        <m:r>
          <w:rPr>
            <w:rFonts w:ascii="Cambria Math" w:hAnsi="Cambria Math"/>
          </w:rPr>
          <m:t>g</m:t>
        </m:r>
        <m:r>
          <m:rPr>
            <m:scr m:val="script"/>
            <m:sty m:val="p"/>
          </m:rPr>
          <w:rPr>
            <w:rFonts w:ascii="Cambria Math" w:hAnsi="Cambria Math"/>
          </w:rPr>
          <m:t>∈G={-</m:t>
        </m:r>
        <m:r>
          <w:rPr>
            <w:rFonts w:ascii="Cambria Math" w:hAnsi="Cambria Math"/>
          </w:rPr>
          <m:t>1</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q</m:t>
            </m:r>
          </m:sup>
        </m:sSup>
      </m:oMath>
      <w:r>
        <w:rPr>
          <w:sz w:val="22"/>
        </w:rPr>
        <w:t xml:space="preserve"> records one such choice for every cluster. Cai et al.’s statistic takes the absolute value of the average transformed score. The p-value is the fraction of all sign patterns whose statistic is at least as large as the observed one:</w:t>
      </w:r>
    </w:p>
    <w:p w14:paraId="6C922894" w14:textId="77777777" w:rsidR="008F2514" w:rsidRDefault="00000000">
      <w:pPr>
        <w:pStyle w:val="BodyText"/>
        <w:keepLines/>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g</m:t>
              </m:r>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j</m:t>
                      </m:r>
                    </m:sub>
                  </m:sSub>
                </m:e>
              </m:nary>
              <m:sSub>
                <m:sSubPr>
                  <m:ctrlPr>
                    <w:rPr>
                      <w:rFonts w:ascii="Cambria Math" w:hAnsi="Cambria Math"/>
                    </w:rPr>
                  </m:ctrlPr>
                </m:sSubPr>
                <m:e>
                  <m:r>
                    <w:rPr>
                      <w:rFonts w:ascii="Cambria Math" w:hAnsi="Cambria Math"/>
                    </w:rPr>
                    <m:t>S</m:t>
                  </m:r>
                </m:e>
                <m:sub>
                  <m:r>
                    <w:rPr>
                      <w:rFonts w:ascii="Cambria Math" w:hAnsi="Cambria Math"/>
                    </w:rPr>
                    <m:t>n</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λ</m:t>
                  </m:r>
                </m:e>
              </m:d>
            </m:e>
          </m:d>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sub>
          </m:sSub>
          <m:d>
            <m:dPr>
              <m:ctrlPr>
                <w:rPr>
                  <w:rFonts w:ascii="Cambria Math" w:hAnsi="Cambria Math"/>
                </w:rPr>
              </m:ctrlPr>
            </m:dPr>
            <m:e>
              <m:r>
                <w:rPr>
                  <w:rFonts w:ascii="Cambria Math" w:hAnsi="Cambria Math"/>
                </w:rPr>
                <m:t>λ</m:t>
              </m:r>
            </m:e>
          </m:d>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q</m:t>
              </m:r>
            </m:sup>
          </m:sSup>
          <m:nary>
            <m:naryPr>
              <m:chr m:val="∑"/>
              <m:limLoc m:val="undOvr"/>
              <m:supHide m:val="1"/>
              <m:ctrlPr>
                <w:rPr>
                  <w:rFonts w:ascii="Cambria Math" w:hAnsi="Cambria Math"/>
                </w:rPr>
              </m:ctrlPr>
            </m:naryPr>
            <m:sub>
              <m:r>
                <w:rPr>
                  <w:rFonts w:ascii="Cambria Math" w:hAnsi="Cambria Math"/>
                </w:rPr>
                <m:t>g</m:t>
              </m:r>
              <m:r>
                <m:rPr>
                  <m:scr m:val="script"/>
                  <m:sty m:val="p"/>
                </m:rPr>
                <w:rPr>
                  <w:rFonts w:ascii="Cambria Math" w:hAnsi="Cambria Math"/>
                </w:rPr>
                <m:t>∈G</m:t>
              </m:r>
            </m:sub>
            <m:sup>
              <m:r>
                <w:rPr>
                  <w:rFonts w:ascii="Cambria Math" w:hAnsi="Cambria Math"/>
                </w:rPr>
                <m:t>​</m:t>
              </m:r>
            </m:sup>
            <m:e>
              <m:r>
                <m:rPr>
                  <m:sty m:val="b"/>
                </m:rP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g</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d>
            <m:dPr>
              <m:ctrlPr>
                <w:rPr>
                  <w:rFonts w:ascii="Cambria Math" w:hAnsi="Cambria Math"/>
                </w:rPr>
              </m:ctrlPr>
            </m:dPr>
            <m:e>
              <m:r>
                <w:rPr>
                  <w:rFonts w:ascii="Cambria Math" w:hAnsi="Cambria Math"/>
                </w:rPr>
                <m:t>λ</m:t>
              </m:r>
              <m:r>
                <m:rPr>
                  <m:sty m:val="p"/>
                </m:rPr>
                <w:rPr>
                  <w:rFonts w:ascii="Cambria Math" w:hAnsi="Cambria Math"/>
                </w:rPr>
                <m:t>,</m:t>
              </m:r>
              <m:r>
                <m:rPr>
                  <m:sty m:val="b"/>
                </m:rP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p>
    <w:p w14:paraId="3E2BA137" w14:textId="77777777" w:rsidR="008F2514" w:rsidRDefault="00000000">
      <w:r>
        <w:rPr>
          <w:sz w:val="22"/>
        </w:rPr>
        <w:t xml:space="preserve">Reject the hypothesized effect when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sub>
        </m:sSub>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α</m:t>
        </m:r>
      </m:oMath>
      <w:r>
        <w:rPr>
          <w:sz w:val="22"/>
        </w:rPr>
        <w:t xml:space="preserve">. We keep every prediction model and pooling weight fixed while changing signs or trying different hypothesized effects. Thus “fit once” means completing the predetermined collection of cross-fits and calibrations once—not fitting one literal regression. The denominator that rescales a cluster’s score, also called its </w:t>
      </w:r>
      <w:r>
        <w:rPr>
          <w:b/>
          <w:sz w:val="22"/>
        </w:rPr>
        <w:t>Jacobian</w:t>
      </w:r>
      <w:r>
        <w:rPr>
          <w:sz w:val="22"/>
        </w:rPr>
        <w:t>, is not multiplied by the random sign. Since each score is a straight-line function of λ, the confidence-set construction of Cai et al. remains available. A rule that refitted predictions for each λ would need a separate argument.</w:t>
      </w:r>
    </w:p>
    <w:p>
      <w:pPr>
        <w:pStyle w:val="BodyText"/>
      </w:pPr>
      <w:r>
        <w:t>The justification is not that patients were randomly assigned these artificial signs. Rather, under the null and the assumptions below, positive and negative fluctuations of the same magnitude are equally plausible for each large-sample cluster score, and the limiting cluster scores are independent. The sign comparison uses that symmetry. Borrowing can make fitted scores dependent in a finite sample; the theorem must show that the part of their dependence caused by prediction errors becomes negligible.</w:t>
      </w:r>
    </w:p>
    <w:p>
      <w:pPr>
        <w:pStyle w:val="Heading3"/>
      </w:pPr>
      <w:commentRangeStart w:id="0"/>
      <w:r>
        <w:t>3.1 Choosing weights across clusters</w:t>
      </w:r>
      <w:commentRangeEnd w:id="0"/>
      <w:r>
        <w:rPr>
          <w:rStyle w:val="CommentReference"/>
        </w:rPr>
        <w:commentReference w:id="0"/>
      </w:r>
    </w:p>
    <w:p>
      <w:pPr>
        <w:pStyle w:val="BodyText"/>
      </w:pPr>
      <w:r>
        <w:t>Under a common-effect model with independent unbiased cluster estimates and known variances, inverse-variance weighting minimizes variance among linear unbiased combinations. This oracle result does not establish that estimated precision weights are optimal for the sign test. Estimating variances from the same observations used to estimate effects can distort inference, especially with skewed outcomes.</w:t>
      </w:r>
    </w:p>
    <w:p>
      <w:pPr>
        <w:pStyle w:val="BodyText"/>
      </w:pPr>
      <w:r>
        <w:t xml:space="preserve">In our preliminary simulations, estimated precision weights caused undercoverage under skewed errors, whereas size weighting improved power over equal score weights and maintained coverage near the nominal level across the designs considered. We therefore recommend size weighting as the primary weighting comparison for the preliminary analysis, retaining estimated precision weighting as experimental. </w:t>
      </w:r>
      <w:hyperlink w:anchor="appendix_weights">
        <w:r>
          <w:t>Appendix A</w:t>
        </w:r>
      </w:hyperlink>
      <w:r>
        <w:t xml:space="preserve"> reports the designs, Monte Carlo uncertainty, and a diagnostic that separates nuisance fitting from same-sample variance weighting. These findings are not a general robustness theorem.</w:t>
      </w:r>
    </w:p>
    <w:p>
      <w:pPr>
        <w:pStyle w:val="BodyText"/>
      </w:pPr>
      <w:r>
        <w:t>Here size weighting means weights proportional to cluster sample size on the cluster effect estimates. Because the scores in (3) already multiply each estimate by the square root of cluster sample size, this is implemented by replacing the equal score weights in (4) with weights proportional to that square root. Equal score weights already give square-root-of-size weights on cluster estimates. With heterogeneous treatment effects, changing these weights can change the estimand. Downweighting small clusters does not establish normality of their scores or extend the assumptions of Proposition 1.</w:t>
      </w:r>
    </w:p>
    <w:p w14:paraId="2AD480BE" w14:textId="77777777" w:rsidR="008F2514" w:rsidRDefault="00000000">
      <w:pPr>
        <w:pStyle w:val="Heading2"/>
      </w:pPr>
      <w:r>
        <w:rPr>
          <w:sz w:val="22"/>
        </w:rPr>
        <w:t>4. How accurate must the predictions be?</w:t>
      </w:r>
    </w:p>
    <w:p w14:paraId="355BB09F" w14:textId="77777777" w:rsidR="008F2514" w:rsidRDefault="00000000">
      <w:pPr>
        <w:keepNext/>
        <w:keepLines/>
      </w:pPr>
      <w:r>
        <w:rPr>
          <w:sz w:val="22"/>
        </w:rPr>
        <w:t xml:space="preserve">Measure prediction error in the cluster where the model will be used—not merely across the pooled training sample. Let </w:t>
      </w: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r>
              <m:rPr>
                <m:sty m:val="p"/>
              </m:rPr>
              <w:rPr>
                <w:rFonts w:ascii="Cambria Math" w:hAnsi="Cambria Math"/>
              </w:rPr>
              <m:t>,</m:t>
            </m:r>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r>
              <m:rPr>
                <m:sty m:val="p"/>
              </m:rPr>
              <w:rPr>
                <w:rFonts w:ascii="Cambria Math" w:hAnsi="Cambria Math"/>
              </w:rPr>
              <m:t>,</m:t>
            </m:r>
            <m:r>
              <w:rPr>
                <w:rFonts w:ascii="Cambria Math" w:hAnsi="Cambria Math"/>
              </w:rPr>
              <m:t>j</m:t>
            </m:r>
          </m:sub>
        </m:sSub>
      </m:oMath>
      <w:r>
        <w:rPr>
          <w:sz w:val="22"/>
        </w:rPr>
        <w:t xml:space="preserve"> be the root-mean-squared error in the treatment regression, and </w:t>
      </w:r>
      <m:oMath>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cr m:val="script"/>
                    <m:sty m:val="p"/>
                  </m:rPr>
                  <w:rPr>
                    <w:rFonts w:ascii="Cambria Math" w:hAnsi="Cambria Math"/>
                  </w:rPr>
                  <m:t>l</m:t>
                </m:r>
              </m:e>
            </m:acc>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r>
              <m:rPr>
                <m:sty m:val="p"/>
              </m:rPr>
              <w:rPr>
                <w:rFonts w:ascii="Cambria Math" w:hAnsi="Cambria Math"/>
              </w:rPr>
              <m:t>,</m:t>
            </m:r>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r>
              <m:rPr>
                <m:sty m:val="p"/>
              </m:rPr>
              <w:rPr>
                <w:rFonts w:ascii="Cambria Math" w:hAnsi="Cambria Math"/>
              </w:rPr>
              <m:t>,</m:t>
            </m:r>
            <m:r>
              <w:rPr>
                <w:rFonts w:ascii="Cambria Math" w:hAnsi="Cambria Math"/>
              </w:rPr>
              <m:t>j</m:t>
            </m:r>
          </m:sub>
        </m:sSub>
      </m:oMath>
      <w:r>
        <w:rPr>
          <w:sz w:val="22"/>
        </w:rPr>
        <w:t xml:space="preserve"> the corresponding error in the outcome regression. The norm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r>
              <m:rPr>
                <m:sty m:val="p"/>
              </m:rPr>
              <w:rPr>
                <w:rFonts w:ascii="Cambria Math" w:hAnsi="Cambria Math"/>
              </w:rPr>
              <m:t>,</m:t>
            </m:r>
            <m:r>
              <w:rPr>
                <w:rFonts w:ascii="Cambria Math" w:hAnsi="Cambria Math"/>
              </w:rPr>
              <m:t>j</m:t>
            </m:r>
          </m:sub>
        </m:sSub>
      </m:oMath>
      <w:r>
        <w:rPr>
          <w:sz w:val="22"/>
        </w:rPr>
        <w:t xml:space="preserve"> averages over the target cluster’s distribution of controls. These are errors relative to the true conditional means, not raw residuals that include irreducible individual noise. For every cluster and evaluation fold </w:t>
      </w:r>
      <m:oMath>
        <m:r>
          <w:rPr>
            <w:rFonts w:ascii="Cambria Math" w:hAnsi="Cambria Math"/>
          </w:rPr>
          <m:t>j</m:t>
        </m:r>
        <m:r>
          <m:rPr>
            <m:sty m:val="p"/>
          </m:rPr>
          <w:rPr>
            <w:rFonts w:ascii="Cambria Math" w:hAnsi="Cambria Math"/>
          </w:rPr>
          <m:t>,</m:t>
        </m:r>
        <m:r>
          <w:rPr>
            <w:rFonts w:ascii="Cambria Math" w:hAnsi="Cambria Math"/>
          </w:rPr>
          <m:t>k</m:t>
        </m:r>
      </m:oMath>
      <w:r>
        <w:rPr>
          <w:sz w:val="22"/>
        </w:rPr>
        <w:t>, require</w:t>
      </w:r>
    </w:p>
    <w:p w14:paraId="19939510" w14:textId="77777777" w:rsidR="008F2514" w:rsidRDefault="00000000">
      <w:pPr>
        <w:pStyle w:val="BodyText"/>
        <w:keepLines/>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  </m:t>
          </m:r>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j</m:t>
                  </m:r>
                </m:sub>
              </m:sSub>
            </m:e>
          </m:rad>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0</m:t>
                      </m:r>
                    </m:sub>
                  </m:sSub>
                </m:e>
              </m:d>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m:t>
              </m:r>
            </m:e>
          </m:d>
        </m:oMath>
      </m:oMathPara>
    </w:p>
    <w:p>
      <w:pPr>
        <w:pStyle w:val="BodyText"/>
      </w:pPr>
      <w:r>
        <w:t xml:space="preserve">The first condition says both prediction functions approach their target-cluster conditional means. The second says the remaining bias from multiplying the two prediction errors, together with a squared treatment-prediction error, must shrink faster than the cluster estimate’s sampling error. </w:t>
      </w:r>
      <w:r>
        <w:rPr>
          <w:b/>
        </w:rPr>
        <w:t>Good average prediction across hospitals is not enough if one hospital retains an important bias.</w:t>
      </w:r>
      <w:r>
        <w:t xml:space="preserve"> Nor does a low held-out mean-squared error by itself establish the required convergence rate.</w:t>
      </w:r>
    </w:p>
    <w:p w14:paraId="4DCA3D5C" w14:textId="77777777" w:rsidR="008F2514" w:rsidRDefault="00000000">
      <w:r>
        <w:rPr>
          <w:sz w:val="22"/>
        </w:rPr>
        <w:t xml:space="preserve">Both nuisance errors being </w:t>
      </w:r>
      <m:oMath>
        <m:sSub>
          <m:sSubPr>
            <m:ctrlPr>
              <w:rPr>
                <w:rFonts w:ascii="Cambria Math" w:hAnsi="Cambria Math"/>
              </w:rPr>
            </m:ctrlPr>
          </m:sSubPr>
          <m:e>
            <m:r>
              <w:rPr>
                <w:rFonts w:ascii="Cambria Math" w:hAnsi="Cambria Math"/>
              </w:rPr>
              <m:t>o</m:t>
            </m:r>
          </m:e>
          <m:sub>
            <m:r>
              <w:rPr>
                <w:rFonts w:ascii="Cambria Math" w:hAnsi="Cambria Math"/>
              </w:rPr>
              <m:t>p</m:t>
            </m:r>
          </m:sub>
        </m:sSub>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j</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sup>
            </m:sSubSup>
          </m:e>
        </m:d>
      </m:oMath>
      <w:r>
        <w:rPr>
          <w:sz w:val="22"/>
        </w:rPr>
        <w:t xml:space="preserve"> suffices: each then shrinks faster than the inverse fourth root of the cluster sample size. They need not shrink equally quickly; a more accurate treatment predictor can compensate for a slower outcome predictor, subject also to the squared treatment-error term in (5). A model trained using other clusters is allowed whenever its errors in the target cluster meet these conditions. Local training is not intrinsically required.</w:t>
      </w:r>
    </w:p>
    <w:p w14:paraId="62A0D540" w14:textId="77777777" w:rsidR="008F2514" w:rsidRDefault="00000000">
      <w:pPr>
        <w:pStyle w:val="BodyText"/>
        <w:keepNext/>
        <w:keepLines/>
      </w:pPr>
      <w:r>
        <w:rPr>
          <w:b/>
          <w:bCs/>
        </w:rPr>
        <w:t>Proposition 1 (orthogonal-score extension of Cai et al.).</w:t>
      </w:r>
      <w:r>
        <w:t xml:space="preserve"> Under Assumption A, the sample separation above, and (5), </w:t>
      </w:r>
      <m:oMath>
        <m:sSub>
          <m:sSubPr>
            <m:ctrlPr>
              <w:rPr>
                <w:rFonts w:ascii="Cambria Math" w:hAnsi="Cambria Math"/>
              </w:rPr>
            </m:ctrlPr>
          </m:sSubPr>
          <m:e>
            <m:r>
              <w:rPr>
                <w:rFonts w:ascii="Cambria Math" w:hAnsi="Cambria Math"/>
              </w:rPr>
              <m:t>S</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0</m:t>
                </m:r>
              </m:sub>
            </m:sSub>
          </m:e>
        </m:d>
      </m:oMath>
      <w:r>
        <w:t xml:space="preserve"> converges to independent centered Gaussian coordinates with variances </w:t>
      </w:r>
      <m:oMath>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j</m:t>
            </m:r>
          </m:sub>
          <m:sup>
            <m:r>
              <w:rPr>
                <w:rFonts w:ascii="Cambria Math" w:hAnsi="Cambria Math"/>
              </w:rPr>
              <m:t>2</m:t>
            </m:r>
          </m:sup>
        </m:sSubSup>
      </m:oMath>
      <w:r>
        <w:t>. The nonrandomized test (4) therefore has limiting rejection probability</w:t>
      </w:r>
    </w:p>
    <w:p w14:paraId="4F21E87E" w14:textId="77777777" w:rsidR="008F2514" w:rsidRDefault="00000000">
      <w:pPr>
        <w:pStyle w:val="BodyText"/>
        <w:keepLines/>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q</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2</m:t>
                  </m:r>
                </m:e>
                <m:sup>
                  <m:r>
                    <w:rPr>
                      <w:rFonts w:ascii="Cambria Math" w:hAnsi="Cambria Math"/>
                    </w:rPr>
                    <m:t>q</m:t>
                  </m:r>
                  <m:r>
                    <m:rPr>
                      <m:sty m:val="p"/>
                    </m:rPr>
                    <w:rPr>
                      <w:rFonts w:ascii="Cambria Math" w:hAnsi="Cambria Math"/>
                    </w:rPr>
                    <m:t>-</m:t>
                  </m:r>
                  <m:r>
                    <w:rPr>
                      <w:rFonts w:ascii="Cambria Math" w:hAnsi="Cambria Math"/>
                    </w:rPr>
                    <m:t>1</m:t>
                  </m:r>
                </m:sup>
              </m:sSup>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q</m:t>
                  </m:r>
                  <m:r>
                    <m:rPr>
                      <m:sty m:val="p"/>
                    </m:rPr>
                    <w:rPr>
                      <w:rFonts w:ascii="Cambria Math" w:hAnsi="Cambria Math"/>
                    </w:rPr>
                    <m:t>-</m:t>
                  </m:r>
                  <m:r>
                    <w:rPr>
                      <w:rFonts w:ascii="Cambria Math" w:hAnsi="Cambria Math"/>
                    </w:rPr>
                    <m:t>1</m:t>
                  </m:r>
                </m:sup>
              </m:sSup>
            </m:den>
          </m:f>
          <m:r>
            <m:rPr>
              <m:sty m:val="p"/>
            </m:rPr>
            <w:rPr>
              <w:rFonts w:ascii="Cambria Math" w:hAnsi="Cambria Math"/>
            </w:rPr>
            <m:t>≤</m:t>
          </m:r>
          <m:r>
            <w:rPr>
              <w:rFonts w:ascii="Cambria Math" w:hAnsi="Cambria Math"/>
            </w:rPr>
            <m:t>α</m:t>
          </m:r>
          <m:r>
            <m:rPr>
              <m:sty m:val="p"/>
            </m:rPr>
            <w:rPr>
              <w:rFonts w:ascii="Cambria Math" w:hAnsi="Cambria Math"/>
            </w:rPr>
            <m:t>.</m:t>
          </m:r>
        </m:oMath>
      </m:oMathPara>
    </w:p>
    <w:p>
      <w:pPr>
        <w:pStyle w:val="BodyText"/>
      </w:pPr>
      <w:r>
        <w:t xml:space="preserve">In words, the test approaches its stated false-rejection probability as each cluster becomes large. The number of clusters does not have to grow. The following proof separates the score we would obtain with the true prediction functions—the </w:t>
      </w:r>
      <w:r>
        <w:rPr>
          <w:b/>
        </w:rPr>
        <w:t>oracle score</w:t>
      </w:r>
      <w:r>
        <w:t>—from the extra terms created by learning those functions. The learning conditions make the extra terms negligible. They do not create a new source of independent information.</w:t>
      </w:r>
    </w:p>
    <w:p w14:paraId="62E1075B" w14:textId="77777777" w:rsidR="008F2514" w:rsidRDefault="00000000">
      <w:pPr>
        <w:keepNext/>
        <w:keepLines/>
      </w:pPr>
      <w:r>
        <w:rPr>
          <w:b/>
          <w:bCs/>
        </w:rPr>
        <w:lastRenderedPageBreak/>
        <w:t>Proof.</w:t>
      </w:r>
      <w:r>
        <w:t xml:space="preserve"> Fix one evaluation fold, condition on all data and randomization used to form its nuisance fits, and write </w:t>
      </w:r>
      <m:oMath>
        <m:sSub>
          <m:sSubPr>
            <m:ctrlPr>
              <w:rPr>
                <w:rFonts w:ascii="Cambria Math" w:hAnsi="Cambria Math"/>
              </w:rPr>
            </m:ctrlPr>
          </m:sSubPr>
          <m:e>
            <m:r>
              <w:rPr>
                <w:rFonts w:ascii="Cambria Math" w:hAnsi="Cambria Math"/>
              </w:rPr>
              <m:t>δ</m:t>
            </m:r>
          </m:e>
          <m:sub>
            <m:r>
              <w:rPr>
                <w:rFonts w:ascii="Cambria Math" w:hAnsi="Cambria Math"/>
              </w:rPr>
              <m:t>m</m:t>
            </m:r>
          </m:sub>
        </m:sSub>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δ</m:t>
            </m:r>
          </m:e>
          <m:sub>
            <m:r>
              <m:rPr>
                <m:scr m:val="script"/>
                <m:sty m:val="p"/>
              </m:rPr>
              <w:rPr>
                <w:rFonts w:ascii="Cambria Math" w:hAnsi="Cambria Math"/>
              </w:rPr>
              <m:t>l</m:t>
            </m:r>
          </m:sub>
        </m:sSub>
        <m:r>
          <m:rPr>
            <m:sty m:val="p"/>
          </m:rPr>
          <w:rPr>
            <w:rFonts w:ascii="Cambria Math" w:hAnsi="Cambria Math"/>
          </w:rPr>
          <m:t>=</m:t>
        </m:r>
        <m:acc>
          <m:accPr>
            <m:ctrlPr>
              <w:rPr>
                <w:rFonts w:ascii="Cambria Math" w:hAnsi="Cambria Math"/>
              </w:rPr>
            </m:ctrlPr>
          </m:accPr>
          <m:e>
            <m:r>
              <m:rPr>
                <m:scr m:val="script"/>
                <m:sty m:val="p"/>
              </m:rPr>
              <w:rPr>
                <w:rFonts w:ascii="Cambria Math" w:hAnsi="Cambria Math"/>
              </w:rPr>
              <m:t>l</m:t>
            </m:r>
          </m:e>
        </m:acc>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sub>
        </m:sSub>
      </m:oMath>
      <w:r>
        <w:t>. Evaluation observations retain their original law. The exact expansion is</w:t>
      </w:r>
    </w:p>
    <w:p w14:paraId="6DE4293D" w14:textId="77777777" w:rsidR="008F2514" w:rsidRDefault="00000000">
      <w:pPr>
        <w:pStyle w:val="BodyText"/>
        <w:keepLines/>
      </w:pPr>
      <m:oMathPara>
        <m:oMathParaPr>
          <m:jc m:val="center"/>
        </m:oMathParaPr>
        <m:oMath>
          <m:acc>
            <m:accPr>
              <m:ctrlPr>
                <w:rPr>
                  <w:rFonts w:ascii="Cambria Math" w:hAnsi="Cambria Math"/>
                </w:rPr>
              </m:ctrlPr>
            </m:accPr>
            <m:e>
              <m:r>
                <w:rPr>
                  <w:rFonts w:ascii="Cambria Math" w:hAnsi="Cambria Math"/>
                </w:rPr>
                <m:t>v</m:t>
              </m:r>
            </m:e>
          </m:acc>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acc>
                <m:accPr>
                  <m:ctrlPr>
                    <w:rPr>
                      <w:rFonts w:ascii="Cambria Math" w:hAnsi="Cambria Math"/>
                    </w:rPr>
                  </m:ctrlPr>
                </m:accPr>
                <m:e>
                  <m:r>
                    <w:rPr>
                      <w:rFonts w:ascii="Cambria Math" w:hAnsi="Cambria Math"/>
                    </w:rPr>
                    <m:t>v</m:t>
                  </m:r>
                </m:e>
              </m:acc>
            </m:e>
          </m:d>
          <m:r>
            <m:rPr>
              <m:sty m:val="p"/>
            </m:rPr>
            <w:rPr>
              <w:rFonts w:ascii="Cambria Math" w:hAnsi="Cambria Math"/>
            </w:rPr>
            <m:t>=</m:t>
          </m:r>
          <m:r>
            <w:rPr>
              <w:rFonts w:ascii="Cambria Math" w:hAnsi="Cambria Math"/>
            </w:rPr>
            <m:t>VU</m:t>
          </m:r>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δ</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V</m:t>
          </m:r>
          <m:sSub>
            <m:sSubPr>
              <m:ctrlPr>
                <w:rPr>
                  <w:rFonts w:ascii="Cambria Math" w:hAnsi="Cambria Math"/>
                </w:rPr>
              </m:ctrlPr>
            </m:sSubPr>
            <m:e>
              <m:r>
                <w:rPr>
                  <w:rFonts w:ascii="Cambria Math" w:hAnsi="Cambria Math"/>
                </w:rPr>
                <m:t>δ</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sub>
          </m:sSub>
          <m:sSub>
            <m:sSubPr>
              <m:ctrlPr>
                <w:rPr>
                  <w:rFonts w:ascii="Cambria Math" w:hAnsi="Cambria Math"/>
                </w:rPr>
              </m:ctrlPr>
            </m:sSubPr>
            <m:e>
              <m:r>
                <w:rPr>
                  <w:rFonts w:ascii="Cambria Math" w:hAnsi="Cambria Math"/>
                </w:rPr>
                <m:t>δ</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2</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m:t>
              </m:r>
            </m:e>
          </m:d>
        </m:oMath>
      </m:oMathPara>
    </w:p>
    <w:p w14:paraId="650EFAAD" w14:textId="77777777" w:rsidR="008F2514" w:rsidRDefault="00000000">
      <w:r>
        <w:t xml:space="preserve">The three linear error terms have conditional mean zero and normalized variances tending to zero by the bounded conditional moments and nuisance consistency. Cauchy–Schwarz and conditional Markov bound the normalized quadratic terms by (5). Fixed </w:t>
      </w:r>
      <m:oMath>
        <m:r>
          <w:rPr>
            <w:rFonts w:ascii="Cambria Math" w:hAnsi="Cambria Math"/>
          </w:rPr>
          <m:t>K</m:t>
        </m:r>
      </m:oMath>
      <w:r>
        <w:t xml:space="preserve"> permits adding fold remainders without assuming independence between fitted models. Expanding </w:t>
      </w:r>
      <m:oMath>
        <m:sSup>
          <m:sSupPr>
            <m:ctrlPr>
              <w:rPr>
                <w:rFonts w:ascii="Cambria Math" w:hAnsi="Cambria Math"/>
              </w:rPr>
            </m:ctrlPr>
          </m:sSupPr>
          <m:e>
            <m:acc>
              <m:accPr>
                <m:ctrlPr>
                  <w:rPr>
                    <w:rFonts w:ascii="Cambria Math" w:hAnsi="Cambria Math"/>
                  </w:rPr>
                </m:ctrlPr>
              </m:accPr>
              <m:e>
                <m:r>
                  <w:rPr>
                    <w:rFonts w:ascii="Cambria Math" w:hAnsi="Cambria Math"/>
                  </w:rPr>
                  <m:t>v</m:t>
                </m:r>
              </m:e>
            </m:acc>
          </m:e>
          <m:sup>
            <m:r>
              <w:rPr>
                <w:rFonts w:ascii="Cambria Math" w:hAnsi="Cambria Math"/>
              </w:rPr>
              <m:t>2</m:t>
            </m:r>
          </m:sup>
        </m:sSup>
      </m:oMath>
      <w:r>
        <w:t xml:space="preserve"> similarly gives </w:t>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n</m:t>
            </m:r>
            <m:r>
              <m:rPr>
                <m:sty m:val="p"/>
              </m:rPr>
              <w:rPr>
                <w:rFonts w:ascii="Cambria Math" w:hAnsi="Cambria Math"/>
              </w:rPr>
              <m:t>,</m:t>
            </m:r>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p</m:t>
            </m:r>
          </m:sub>
        </m:sSub>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The oracle sums </w:t>
      </w:r>
      <m:oMath>
        <m:sSubSup>
          <m:sSubSupPr>
            <m:ctrlPr>
              <w:rPr>
                <w:rFonts w:ascii="Cambria Math" w:hAnsi="Cambria Math"/>
              </w:rPr>
            </m:ctrlPr>
          </m:sSubSupPr>
          <m:e>
            <m:r>
              <w:rPr>
                <w:rFonts w:ascii="Cambria Math" w:hAnsi="Cambria Math"/>
              </w:rPr>
              <m:t>n</m:t>
            </m:r>
          </m:e>
          <m:sub>
            <m:r>
              <w:rPr>
                <w:rFonts w:ascii="Cambria Math" w:hAnsi="Cambria Math"/>
              </w:rPr>
              <m:t>j</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j</m:t>
                </m:r>
              </m:sub>
            </m:sSub>
          </m:e>
        </m:nary>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Sub>
      </m:oMath>
      <w:r>
        <w:t xml:space="preserve"> satisfy independent clusterwise central limit theorems. Although borrowing couples the fitted scores, their finitely many remainders vanish jointly. The resulting limit is sign-invariant. Nondegenerate independent Gaussian coordinates have no sign-orbit ties except </w:t>
      </w:r>
      <m:oMath>
        <m:r>
          <w:rPr>
            <w:rFonts w:ascii="Cambria Math" w:hAnsi="Cambria Math"/>
          </w:rPr>
          <m:t>g</m:t>
        </m:r>
        <m:r>
          <m:rPr>
            <m:sty m:val="p"/>
          </m:rPr>
          <w:rPr>
            <w:rFonts w:ascii="Cambria Math" w:hAnsi="Cambria Math"/>
          </w:rPr>
          <m:t>,-</m:t>
        </m:r>
        <m:r>
          <w:rPr>
            <w:rFonts w:ascii="Cambria Math" w:hAnsi="Cambria Math"/>
          </w:rPr>
          <m:t>g</m:t>
        </m:r>
      </m:oMath>
      <w:r>
        <w:t xml:space="preserve"> pairing; uniform orbit ranks give </w:t>
      </w:r>
      <m:oMath>
        <m:sSub>
          <m:sSubPr>
            <m:ctrlPr>
              <w:rPr>
                <w:rFonts w:ascii="Cambria Math" w:hAnsi="Cambria Math"/>
              </w:rPr>
            </m:ctrlPr>
          </m:sSubPr>
          <m:e>
            <m:r>
              <w:rPr>
                <w:rFonts w:ascii="Cambria Math" w:hAnsi="Cambria Math"/>
              </w:rPr>
              <m:t>α</m:t>
            </m:r>
          </m:e>
          <m:sub>
            <m:r>
              <w:rPr>
                <w:rFonts w:ascii="Cambria Math" w:hAnsi="Cambria Math"/>
              </w:rPr>
              <m:t>q</m:t>
            </m:r>
          </m:sub>
        </m:sSub>
      </m:oMath>
      <w:r>
        <w:t xml:space="preserve">. This is the Canay–Romano–Shaikh argument implemented by Cai et al., not a new randomization theorem. </w:t>
      </w:r>
      <m:oMath>
        <m:r>
          <m:rPr>
            <m:sty m:val="p"/>
          </m:rPr>
          <w:rPr>
            <w:rFonts w:ascii="Cambria Math" w:hAnsi="Cambria Math"/>
          </w:rPr>
          <m:t>▫</m:t>
        </m:r>
      </m:oMath>
    </w:p>
    <w:p w14:paraId="0AB39FE2" w14:textId="77777777" w:rsidR="008F2514" w:rsidRDefault="00000000">
      <w:pPr>
        <w:pStyle w:val="BodyText"/>
      </w:pPr>
      <w:r>
        <w:rPr>
          <w:sz w:val="22"/>
        </w:rPr>
        <w:t xml:space="preserve">The small number of sign patterns limits how finely the test can distinguish p-values. At a nominal 5% level, the limiting rejection probability is </w:t>
      </w:r>
      <m:oMath>
        <m:sSub>
          <m:sSubPr>
            <m:ctrlPr>
              <w:rPr>
                <w:rFonts w:ascii="Cambria Math" w:hAnsi="Cambria Math"/>
              </w:rPr>
            </m:ctrlPr>
          </m:sSubPr>
          <m:e>
            <m:r>
              <w:rPr>
                <w:rFonts w:ascii="Cambria Math" w:hAnsi="Cambria Math"/>
              </w:rPr>
              <m:t>α</m:t>
            </m:r>
          </m:e>
          <m:sub>
            <m:r>
              <w:rPr>
                <w:rFonts w:ascii="Cambria Math" w:hAnsi="Cambria Math"/>
              </w:rPr>
              <m:t>q</m:t>
            </m:r>
          </m:sub>
        </m:sSub>
        <m:r>
          <m:rPr>
            <m:sty m:val="p"/>
          </m:rPr>
          <w:rPr>
            <w:rFonts w:ascii="Cambria Math" w:hAnsi="Cambria Math"/>
          </w:rPr>
          <m:t>=</m:t>
        </m:r>
        <m:r>
          <w:rPr>
            <w:rFonts w:ascii="Cambria Math" w:hAnsi="Cambria Math"/>
          </w:rPr>
          <m:t>0</m:t>
        </m:r>
      </m:oMath>
      <w:r>
        <w:rPr>
          <w:sz w:val="22"/>
        </w:rPr>
        <w:t xml:space="preserve"> for </w:t>
      </w:r>
      <m:oMath>
        <m:r>
          <w:rPr>
            <w:rFonts w:ascii="Cambria Math" w:hAnsi="Cambria Math"/>
          </w:rPr>
          <m:t>q</m:t>
        </m:r>
        <m:r>
          <m:rPr>
            <m:sty m:val="p"/>
          </m:rPr>
          <w:rPr>
            <w:rFonts w:ascii="Cambria Math" w:hAnsi="Cambria Math"/>
          </w:rPr>
          <m:t>≤</m:t>
        </m:r>
        <m:r>
          <w:rPr>
            <w:rFonts w:ascii="Cambria Math" w:hAnsi="Cambria Math"/>
          </w:rPr>
          <m:t>5</m:t>
        </m:r>
      </m:oMath>
      <w:r>
        <w:rPr>
          <w:sz w:val="22"/>
        </w:rPr>
        <w:t xml:space="preserve">, </w:t>
      </w:r>
      <m:oMath>
        <m:r>
          <w:rPr>
            <w:rFonts w:ascii="Cambria Math" w:hAnsi="Cambria Math"/>
          </w:rPr>
          <m:t>1</m:t>
        </m:r>
        <m:r>
          <m:rPr>
            <m:sty m:val="p"/>
          </m:rPr>
          <w:rPr>
            <w:rFonts w:ascii="Cambria Math" w:hAnsi="Cambria Math"/>
          </w:rPr>
          <m:t>/</m:t>
        </m:r>
        <m:r>
          <w:rPr>
            <w:rFonts w:ascii="Cambria Math" w:hAnsi="Cambria Math"/>
          </w:rPr>
          <m:t>32</m:t>
        </m:r>
      </m:oMath>
      <w:r>
        <w:rPr>
          <w:sz w:val="22"/>
        </w:rPr>
        <w:t xml:space="preserve"> (3.125%) for </w:t>
      </w:r>
      <m:oMath>
        <m:r>
          <w:rPr>
            <w:rFonts w:ascii="Cambria Math" w:hAnsi="Cambria Math"/>
          </w:rPr>
          <m:t>q</m:t>
        </m:r>
        <m:r>
          <m:rPr>
            <m:sty m:val="p"/>
          </m:rPr>
          <w:rPr>
            <w:rFonts w:ascii="Cambria Math" w:hAnsi="Cambria Math"/>
          </w:rPr>
          <m:t>=</m:t>
        </m:r>
        <m:r>
          <w:rPr>
            <w:rFonts w:ascii="Cambria Math" w:hAnsi="Cambria Math"/>
          </w:rPr>
          <m:t>6</m:t>
        </m:r>
      </m:oMath>
      <w:r>
        <w:rPr>
          <w:sz w:val="22"/>
        </w:rPr>
        <w:t xml:space="preserve">, and </w:t>
      </w:r>
      <m:oMath>
        <m:r>
          <w:rPr>
            <w:rFonts w:ascii="Cambria Math" w:hAnsi="Cambria Math"/>
          </w:rPr>
          <m:t>6</m:t>
        </m:r>
        <m:r>
          <m:rPr>
            <m:sty m:val="p"/>
          </m:rPr>
          <w:rPr>
            <w:rFonts w:ascii="Cambria Math" w:hAnsi="Cambria Math"/>
          </w:rPr>
          <m:t>/</m:t>
        </m:r>
        <m:r>
          <w:rPr>
            <w:rFonts w:ascii="Cambria Math" w:hAnsi="Cambria Math"/>
          </w:rPr>
          <m:t>128</m:t>
        </m:r>
      </m:oMath>
      <w:r>
        <w:rPr>
          <w:sz w:val="22"/>
        </w:rPr>
        <w:t xml:space="preserve"> (4.6875%) for </w:t>
      </w:r>
      <m:oMath>
        <m:r>
          <w:rPr>
            <w:rFonts w:ascii="Cambria Math" w:hAnsi="Cambria Math"/>
          </w:rPr>
          <m:t>q</m:t>
        </m:r>
        <m:r>
          <m:rPr>
            <m:sty m:val="p"/>
          </m:rPr>
          <w:rPr>
            <w:rFonts w:ascii="Cambria Math" w:hAnsi="Cambria Math"/>
          </w:rPr>
          <m:t>=</m:t>
        </m:r>
        <m:r>
          <w:rPr>
            <w:rFonts w:ascii="Cambria Math" w:hAnsi="Cambria Math"/>
          </w:rPr>
          <m:t>8</m:t>
        </m:r>
      </m:oMath>
      <w:r>
        <w:rPr>
          <w:sz w:val="22"/>
        </w:rPr>
        <w:t>. Reversing every sign leaves the absolute-value statistic unchanged, which is why sign patterns come in pairs. These are limiting probabilities under the null, not finite-sample coverage guarantees.</w:t>
      </w:r>
    </w:p>
    <w:p w14:paraId="28095D32" w14:textId="77777777" w:rsidR="008F2514" w:rsidRDefault="00000000">
      <w:pPr>
        <w:pStyle w:val="Heading2"/>
      </w:pPr>
      <w:r>
        <w:rPr>
          <w:sz w:val="22"/>
        </w:rPr>
        <w:t>5. Choosing how much information to borrow from other clusters</w:t>
      </w:r>
    </w:p>
    <w:p w14:paraId="0A491492" w14:textId="77777777" w:rsidR="008F2514" w:rsidRDefault="00000000">
      <w:pPr>
        <w:pStyle w:val="Heading3"/>
      </w:pPr>
      <w:r>
        <w:rPr>
          <w:sz w:val="22"/>
        </w:rPr>
        <w:t>5.1 Combining two predictions using held-out observations</w:t>
      </w:r>
    </w:p>
    <w:p w14:paraId="1F578DC4" w14:textId="6A00FAFB" w:rsidR="00211A2C" w:rsidRDefault="00211A2C">
      <w:pPr>
        <w:keepLines/>
      </w:pPr>
      <w:r>
        <w:rPr>
          <w:b/>
          <w:sz w:val="22"/>
        </w:rPr>
        <w:t>We predict treatment and outcomes both within a cluster and using information from other clusters. We then use a hold-out sample from that cluster to choose the weighted average of the two predictions that best predicts treatment or the outcome.</w:t>
      </w:r>
      <w:r>
        <w:rPr>
          <w:sz w:val="22"/>
        </w:rPr>
        <w:t xml:space="preserve"> We do this separately for the two prediction tasks, so a hospital can borrow heavily for predicting treatment and little for predicting outcomes, or the reverse. The observations used to choose these weights are separate from those used to estimate the treatment effect.</w:t>
      </w:r>
    </w:p>
    <w:p w14:paraId="30A6CA81" w14:textId="7CE66899" w:rsidR="008F2514" w:rsidRDefault="00000000">
      <w:pPr>
        <w:keepNext/>
        <w:keepLines/>
      </w:pPr>
      <w:r>
        <w:rPr>
          <w:sz w:val="22"/>
        </w:rPr>
        <w:t xml:space="preserve">Here is the same procedure in notation. The response </w:t>
      </w:r>
      <m:oMath>
        <m:r>
          <w:rPr>
            <w:rFonts w:ascii="Cambria Math" w:hAnsi="Cambria Math"/>
          </w:rPr>
          <m:t>Z</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Y</m:t>
        </m:r>
        <m:r>
          <m:rPr>
            <m:sty m:val="p"/>
          </m:rPr>
          <w:rPr>
            <w:rFonts w:ascii="Cambria Math" w:hAnsi="Cambria Math"/>
          </w:rPr>
          <m:t>}</m:t>
        </m:r>
      </m:oMath>
      <w:r>
        <w:rPr>
          <w:sz w:val="22"/>
        </w:rPr>
        <w:t xml:space="preserve"> is either treatment or the outcome. For the cluster and evaluation fold under consideration, </w:t>
      </w:r>
      <m:oMath>
        <m:r>
          <w:rPr>
            <w:rFonts w:ascii="Cambria Math" w:hAnsi="Cambria Math"/>
          </w:rPr>
          <m:t>L</m:t>
        </m:r>
      </m:oMath>
      <w:r>
        <w:rPr>
          <w:sz w:val="22"/>
        </w:rPr>
        <w:t xml:space="preserve"> is the prediction fitted using only the permitted local training observations, and </w:t>
      </w:r>
      <m:oMath>
        <m:r>
          <w:rPr>
            <w:rFonts w:ascii="Cambria Math" w:hAnsi="Cambria Math"/>
          </w:rPr>
          <m:t>P</m:t>
        </m:r>
      </m:oMath>
      <w:r>
        <w:rPr>
          <w:sz w:val="22"/>
        </w:rPr>
        <w:t xml:space="preserve"> is the prediction fitted using information from other clusters, possibly together with local training observations. Write </w:t>
      </w:r>
      <m:oMath>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L</m:t>
        </m:r>
      </m:oMath>
      <w:r>
        <w:rPr>
          <w:sz w:val="22"/>
        </w:rPr>
        <w:t xml:space="preserve"> for their difference. Hold both fitted models fixed, and use the reserved target-cluster calibration sample of size </w:t>
      </w:r>
      <m:oMath>
        <m:r>
          <w:rPr>
            <w:rFonts w:ascii="Cambria Math" w:hAnsi="Cambria Math"/>
          </w:rPr>
          <m:t>s</m:t>
        </m:r>
      </m:oMath>
      <w:r>
        <w:rPr>
          <w:sz w:val="22"/>
        </w:rPr>
        <w:t xml:space="preserve"> to choose</w:t>
      </w:r>
    </w:p>
    <w:p w14:paraId="09B389D0" w14:textId="77777777" w:rsidR="008F2514" w:rsidRDefault="00000000">
      <w:pPr>
        <w:pStyle w:val="BodyText"/>
        <w:keepLines/>
      </w:pPr>
      <m:oMathPara>
        <m:oMathParaPr>
          <m:jc m:val="center"/>
        </m:oMathParaPr>
        <m:oMath>
          <m:acc>
            <m:accPr>
              <m:ctrlPr>
                <w:rPr>
                  <w:rFonts w:ascii="Cambria Math" w:hAnsi="Cambria Math"/>
                </w:rPr>
              </m:ctrlPr>
            </m:accPr>
            <m:e>
              <m:r>
                <w:rPr>
                  <w:rFonts w:ascii="Cambria Math" w:hAnsi="Cambria Math"/>
                </w:rPr>
                <m:t>w</m:t>
              </m:r>
            </m:e>
          </m:acc>
          <m:r>
            <m:rPr>
              <m:sty m:val="p"/>
            </m:rPr>
            <w:rPr>
              <w:rFonts w:ascii="Cambria Math" w:hAnsi="Cambria Math"/>
            </w:rPr>
            <m:t>=</m:t>
          </m:r>
          <m:sSub>
            <m:sSubPr>
              <m:ctrlPr>
                <w:rPr>
                  <w:rFonts w:ascii="Cambria Math" w:hAnsi="Cambria Math"/>
                </w:rPr>
              </m:ctrlPr>
            </m:sSubPr>
            <m:e>
              <m:r>
                <w:rPr>
                  <w:rFonts w:ascii="Cambria Math" w:hAnsi="Cambria Math"/>
                </w:rPr>
                <m:t>Π</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begChr m:val="["/>
              <m:endChr m:val="]"/>
              <m:ctrlPr>
                <w:rPr>
                  <w:rFonts w:ascii="Cambria Math" w:hAnsi="Cambria Math"/>
                </w:rPr>
              </m:ctrlPr>
            </m:dPr>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s</m:t>
                      </m:r>
                    </m:sup>
                    <m:e>
                      <m:r>
                        <w:rPr>
                          <w:rFonts w:ascii="Cambria Math" w:hAnsi="Cambria Math"/>
                        </w:rPr>
                        <m:t>d</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s</m:t>
                      </m:r>
                    </m:sup>
                    <m:e>
                      <m:r>
                        <w:rPr>
                          <w:rFonts w:ascii="Cambria Math" w:hAnsi="Cambria Math"/>
                        </w:rPr>
                        <m:t>d</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e>
                    <m:sup>
                      <m:r>
                        <w:rPr>
                          <w:rFonts w:ascii="Cambria Math" w:hAnsi="Cambria Math"/>
                        </w:rPr>
                        <m:t>2</m:t>
                      </m:r>
                    </m:sup>
                  </m:sSup>
                </m:den>
              </m:f>
            </m:e>
          </m:d>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L</m:t>
          </m:r>
          <m:r>
            <m:rPr>
              <m:sty m:val="p"/>
            </m:rPr>
            <w:rPr>
              <w:rFonts w:ascii="Cambria Math" w:hAnsi="Cambria Math"/>
            </w:rPr>
            <m:t>+</m:t>
          </m:r>
          <m:acc>
            <m:accPr>
              <m:ctrlPr>
                <w:rPr>
                  <w:rFonts w:ascii="Cambria Math" w:hAnsi="Cambria Math"/>
                </w:rPr>
              </m:ctrlPr>
            </m:accPr>
            <m:e>
              <m:r>
                <w:rPr>
                  <w:rFonts w:ascii="Cambria Math" w:hAnsi="Cambria Math"/>
                </w:rPr>
                <m:t>w</m:t>
              </m:r>
            </m:e>
          </m:acc>
          <m:r>
            <w:rPr>
              <w:rFonts w:ascii="Cambria Math" w:hAnsi="Cambria Math"/>
            </w:rPr>
            <m:t>d</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m:t>
              </m:r>
            </m:e>
          </m:d>
        </m:oMath>
      </m:oMathPara>
    </w:p>
    <w:p w14:paraId="47BAA6F6" w14:textId="77777777" w:rsidR="008F2514" w:rsidRDefault="00000000">
      <w:r>
        <w:rPr>
          <w:sz w:val="22"/>
        </w:rPr>
        <w:t xml:space="preserve">The fraction in (7) chooses the mixture that minimizes squared prediction errors on the calibration sample; the projection symbol means to restrict the weight to the interval from zero to one. Zero means using only the local prediction, one means using only the borrowing prediction, and intermediate values average them. Set </w:t>
      </w:r>
      <m:oMath>
        <m:acc>
          <m:accPr>
            <m:ctrlPr>
              <w:rPr>
                <w:rFonts w:ascii="Cambria Math" w:hAnsi="Cambria Math"/>
              </w:rPr>
            </m:ctrlPr>
          </m:accPr>
          <m:e>
            <m:r>
              <w:rPr>
                <w:rFonts w:ascii="Cambria Math" w:hAnsi="Cambria Math"/>
              </w:rPr>
              <m:t>w</m:t>
            </m:r>
          </m:e>
        </m:acc>
        <m:r>
          <m:rPr>
            <m:sty m:val="p"/>
          </m:rPr>
          <w:rPr>
            <w:rFonts w:ascii="Cambria Math" w:hAnsi="Cambria Math"/>
          </w:rPr>
          <m:t>=</m:t>
        </m:r>
        <m:r>
          <w:rPr>
            <w:rFonts w:ascii="Cambria Math" w:hAnsi="Cambria Math"/>
          </w:rPr>
          <m:t>0</m:t>
        </m:r>
      </m:oMath>
      <w:r>
        <w:rPr>
          <w:sz w:val="22"/>
        </w:rPr>
        <w:t xml:space="preserve"> if the denominator is zero, because the two models then give identical predictions on the calibration observations. Choose weights separately for </w:t>
      </w:r>
      <m:oMath>
        <m:r>
          <w:rPr>
            <w:rFonts w:ascii="Cambria Math" w:hAnsi="Cambria Math"/>
          </w:rPr>
          <m:t>m</m:t>
        </m:r>
      </m:oMath>
      <w:r>
        <w:rPr>
          <w:sz w:val="22"/>
        </w:rPr>
        <w:t xml:space="preserve"> and </w:t>
      </w:r>
      <m:oMath>
        <m:r>
          <m:rPr>
            <m:scr m:val="script"/>
            <m:sty m:val="p"/>
          </m:rPr>
          <w:rPr>
            <w:rFonts w:ascii="Cambria Math" w:hAnsi="Cambria Math"/>
          </w:rPr>
          <m:t>l</m:t>
        </m:r>
      </m:oMath>
      <w:r>
        <w:rPr>
          <w:sz w:val="22"/>
        </w:rPr>
        <w:t>, in each cluster and evaluation fold. The researcher does not need to know the true prediction errors or specify how similar the clusters must be.</w:t>
      </w:r>
    </w:p>
    <w:p>
      <w:pPr>
        <w:pStyle w:val="BodyText"/>
      </w:pPr>
      <w:r>
        <w:t>The guarantee compares the selected mixture with the best mixture we could choose if we knew the two models’ true prediction errors in the target cluster. This ideal choice is a benchmark, not an input to the algorithm. Write f₀ for the target-cluster conditional mean of the response. Prediction risk means average squared error relative to that mean. The calibration sample adds noise to our choice of weight; the bound below makes that cost explicit.</w:t>
      </w:r>
    </w:p>
    <w:p w14:paraId="5EA40042" w14:textId="77777777" w:rsidR="008F2514" w:rsidRDefault="00000000">
      <w:pPr>
        <w:pStyle w:val="BodyText"/>
      </w:pPr>
      <w:r>
        <w:rPr>
          <w:sz w:val="22"/>
        </w:rPr>
        <w:t xml:space="preserve">Conditional on the base-training data, define the target-cluster risk </w:t>
      </w:r>
      <m:oMath>
        <m:r>
          <w:rPr>
            <w:rFonts w:ascii="Cambria Math" w:hAnsi="Cambria Math"/>
          </w:rPr>
          <m:t>R</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L</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wd</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X</m:t>
                        </m:r>
                      </m:e>
                    </m:d>
                  </m:e>
                </m:d>
              </m:e>
              <m:sup>
                <m:r>
                  <w:rPr>
                    <w:rFonts w:ascii="Cambria Math" w:hAnsi="Cambria Math"/>
                  </w:rPr>
                  <m:t>2</m:t>
                </m:r>
              </m:sup>
            </m:sSup>
          </m:e>
        </m:d>
      </m:oMath>
      <w:r>
        <w:rPr>
          <w:sz w:val="22"/>
        </w:rPr>
        <w:t xml:space="preserve"> and its minimizing weight </w:t>
      </w:r>
      <m:oMath>
        <m:sSub>
          <m:sSubPr>
            <m:ctrlPr>
              <w:rPr>
                <w:rFonts w:ascii="Cambria Math" w:hAnsi="Cambria Math"/>
              </w:rPr>
            </m:ctrlPr>
          </m:sSubPr>
          <m:e>
            <m:r>
              <w:rPr>
                <w:rFonts w:ascii="Cambria Math" w:hAnsi="Cambria Math"/>
              </w:rPr>
              <m:t>w</m:t>
            </m:r>
          </m:e>
          <m:sub>
            <m:r>
              <m:rPr>
                <m:sty m:val="p"/>
              </m:rPr>
              <w:rPr>
                <w:rFonts w:ascii="Cambria Math" w:hAnsi="Cambria Math"/>
              </w:rPr>
              <m:t>⋆</m:t>
            </m:r>
          </m:sub>
        </m:sSub>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r>
          <w:rPr>
            <w:rFonts w:ascii="Cambria Math" w:hAnsi="Cambria Math"/>
          </w:rPr>
          <m:t>R</m:t>
        </m:r>
        <m:d>
          <m:dPr>
            <m:ctrlPr>
              <w:rPr>
                <w:rFonts w:ascii="Cambria Math" w:hAnsi="Cambria Math"/>
              </w:rPr>
            </m:ctrlPr>
          </m:dPr>
          <m:e>
            <m:r>
              <w:rPr>
                <w:rFonts w:ascii="Cambria Math" w:hAnsi="Cambria Math"/>
              </w:rPr>
              <m:t>w</m:t>
            </m:r>
          </m:e>
        </m:d>
      </m:oMath>
      <w:r>
        <w:rPr>
          <w:sz w:val="22"/>
        </w:rPr>
        <w:t xml:space="preserve">. Define </w:t>
      </w:r>
      <m:oMath>
        <m:r>
          <w:rPr>
            <w:rFonts w:ascii="Cambria Math" w:hAnsi="Cambria Math"/>
          </w:rPr>
          <m:t>H</m:t>
        </m:r>
        <m:r>
          <m:rPr>
            <m:sty m:val="p"/>
          </m:rPr>
          <w:rPr>
            <w:rFonts w:ascii="Cambria Math" w:hAnsi="Cambria Math"/>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2</m:t>
                </m:r>
              </m:sup>
            </m:sSup>
          </m:e>
        </m:d>
      </m:oMath>
      <w:r>
        <w:rPr>
          <w:sz w:val="22"/>
        </w:rPr>
        <w:t xml:space="preserve">, which measures how much the two predictions disagree, and </w:t>
      </w:r>
      <m:oMath>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=Var</m:t>
        </m:r>
        <m:d>
          <m:dPr>
            <m:ctrlPr>
              <w:rPr>
                <w:rFonts w:ascii="Cambria Math" w:hAnsi="Cambria Math"/>
              </w:rPr>
            </m:ctrlPr>
          </m:dPr>
          <m:e>
            <m:r>
              <w:rPr>
                <w:rFonts w:ascii="Cambria Math" w:hAnsi="Cambria Math"/>
              </w:rPr>
              <m:t>d</m:t>
            </m:r>
            <m:d>
              <m:dPr>
                <m:begChr m:val="["/>
                <m:endChr m:val="]"/>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t>
                    </m:r>
                  </m:sub>
                </m:sSub>
                <m:r>
                  <w:rPr>
                    <w:rFonts w:ascii="Cambria Math" w:hAnsi="Cambria Math"/>
                  </w:rPr>
                  <m:t>d</m:t>
                </m:r>
              </m:e>
            </m:d>
          </m:e>
        </m:d>
      </m:oMath>
      <w:r>
        <w:rPr>
          <w:sz w:val="22"/>
        </w:rPr>
        <w:t xml:space="preserve"> and </w:t>
      </w:r>
      <m:oMath>
        <m:r>
          <w:rPr>
            <w:rFonts w:ascii="Cambria Math" w:hAnsi="Cambria Math"/>
          </w:rPr>
          <m:t>F</m:t>
        </m:r>
        <m:r>
          <m:rPr>
            <m:sty m:val="p"/>
          </m:rPr>
          <w:rPr>
            <w:rFonts w:ascii="Cambria Math" w:hAnsi="Cambria Math"/>
          </w:rPr>
          <m:t>=Var</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2</m:t>
                </m:r>
              </m:sup>
            </m:sSup>
          </m:e>
        </m:d>
      </m:oMath>
      <w:r>
        <w:rPr>
          <w:sz w:val="22"/>
        </w:rPr>
        <w:t>, which measure variability in the quantities used to select the weight. All expectations and variances here use the target-cluster distribution. These theoretical quantities describe the guarantee; none must be known to compute (7).</w:t>
      </w:r>
    </w:p>
    <w:p w14:paraId="54AADC76" w14:textId="77777777" w:rsidR="008F2514" w:rsidRDefault="00000000">
      <w:pPr>
        <w:pStyle w:val="BodyText"/>
        <w:keepNext/>
        <w:keepLines/>
      </w:pPr>
      <w:r>
        <w:rPr>
          <w:b/>
          <w:bCs/>
        </w:rPr>
        <w:t>Proposition 2 (adaptive pooling).</w:t>
      </w:r>
      <w:r>
        <w:t xml:space="preserve"> When these moments are finite and </w:t>
      </w:r>
      <m:oMath>
        <m:r>
          <w:rPr>
            <w:rFonts w:ascii="Cambria Math" w:hAnsi="Cambria Math"/>
          </w:rPr>
          <m:t>H</m:t>
        </m:r>
        <m:r>
          <m:rPr>
            <m:sty m:val="p"/>
          </m:rPr>
          <w:rPr>
            <w:rFonts w:ascii="Cambria Math" w:hAnsi="Cambria Math"/>
          </w:rPr>
          <m:t>&gt;</m:t>
        </m:r>
        <m:r>
          <w:rPr>
            <w:rFonts w:ascii="Cambria Math" w:hAnsi="Cambria Math"/>
          </w:rPr>
          <m:t>0</m:t>
        </m:r>
      </m:oMath>
      <w:r>
        <w:t>,</w:t>
      </w:r>
    </w:p>
    <w:p w14:paraId="39D877B4" w14:textId="77777777" w:rsidR="008F2514" w:rsidRDefault="00000000">
      <w:pPr>
        <w:pStyle w:val="BodyText"/>
        <w:keepLines/>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cal</m:t>
              </m:r>
            </m:sub>
          </m:sSub>
          <m:d>
            <m:dPr>
              <m:begChr m:val="["/>
              <m:endChr m:val="]"/>
              <m:ctrlPr>
                <w:rPr>
                  <w:rFonts w:ascii="Cambria Math" w:hAnsi="Cambria Math"/>
                </w:rPr>
              </m:ctrlPr>
            </m:dPr>
            <m:e>
              <m:r>
                <w:rPr>
                  <w:rFonts w:ascii="Cambria Math" w:hAnsi="Cambria Math"/>
                </w:rPr>
                <m:t>R</m:t>
              </m:r>
              <m:d>
                <m:dPr>
                  <m:ctrlPr>
                    <w:rPr>
                      <w:rFonts w:ascii="Cambria Math" w:hAnsi="Cambria Math"/>
                    </w:rPr>
                  </m:ctrlPr>
                </m:dPr>
                <m:e>
                  <m:acc>
                    <m:accPr>
                      <m:ctrlPr>
                        <w:rPr>
                          <w:rFonts w:ascii="Cambria Math" w:hAnsi="Cambria Math"/>
                        </w:rPr>
                      </m:ctrlPr>
                    </m:accPr>
                    <m:e>
                      <m:r>
                        <w:rPr>
                          <w:rFonts w:ascii="Cambria Math" w:hAnsi="Cambria Math"/>
                        </w:rPr>
                        <m:t>w</m:t>
                      </m:r>
                    </m:e>
                  </m:acc>
                </m:e>
              </m:d>
            </m:e>
          </m:d>
          <m:r>
            <m:rPr>
              <m:sty m:val="p"/>
            </m:rPr>
            <w:rPr>
              <w:rFonts w:ascii="Cambria Math" w:hAnsi="Cambria Math"/>
            </w:rPr>
            <m:t>≤</m:t>
          </m:r>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m:t>
                  </m:r>
                </m:sub>
              </m:sSub>
            </m:e>
          </m:d>
          <m:r>
            <m:rPr>
              <m:sty m:val="p"/>
            </m:rPr>
            <w:rPr>
              <w:rFonts w:ascii="Cambria Math" w:hAnsi="Cambria Math"/>
            </w:rPr>
            <m:t>+</m:t>
          </m:r>
          <m:f>
            <m:fPr>
              <m:ctrlPr>
                <w:rPr>
                  <w:rFonts w:ascii="Cambria Math" w:hAnsi="Cambria Math"/>
                </w:rPr>
              </m:ctrlPr>
            </m:fPr>
            <m:num>
              <m:r>
                <w:rPr>
                  <w:rFonts w:ascii="Cambria Math" w:hAnsi="Cambria Math"/>
                </w:rPr>
                <m:t>4</m:t>
              </m:r>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r>
                    <w:rPr>
                      <w:rFonts w:ascii="Cambria Math" w:hAnsi="Cambria Math"/>
                    </w:rPr>
                    <m:t>F</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m:rPr>
                              <m:sty m:val="p"/>
                            </m:rPr>
                            <w:rPr>
                              <w:rFonts w:ascii="Cambria Math" w:hAnsi="Cambria Math"/>
                            </w:rPr>
                            <m:t>⋆</m:t>
                          </m:r>
                        </m:sub>
                      </m:sSub>
                      <m:r>
                        <w:rPr>
                          <w:rFonts w:ascii="Cambria Math" w:hAnsi="Cambria Math"/>
                        </w:rPr>
                        <m:t>F</m:t>
                      </m:r>
                    </m:e>
                  </m:rad>
                </m:e>
              </m:d>
            </m:num>
            <m:den>
              <m:r>
                <w:rPr>
                  <w:rFonts w:ascii="Cambria Math" w:hAnsi="Cambria Math"/>
                </w:rPr>
                <m:t>sH</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p>
    <w:p w14:paraId="40751041" w14:textId="77777777" w:rsidR="008F2514" w:rsidRDefault="00000000">
      <w:r>
        <w:t xml:space="preserve">When </w:t>
      </w:r>
      <m:oMath>
        <m:r>
          <w:rPr>
            <w:rFonts w:ascii="Cambria Math" w:hAnsi="Cambria Math"/>
          </w:rPr>
          <m:t>H</m:t>
        </m:r>
        <m:r>
          <m:rPr>
            <m:sty m:val="p"/>
          </m:rPr>
          <w:rPr>
            <w:rFonts w:ascii="Cambria Math" w:hAnsi="Cambria Math"/>
          </w:rPr>
          <m:t>=</m:t>
        </m:r>
        <m:r>
          <w:rPr>
            <w:rFonts w:ascii="Cambria Math" w:hAnsi="Cambria Math"/>
          </w:rPr>
          <m:t>0</m:t>
        </m:r>
      </m:oMath>
      <w:r>
        <w:t xml:space="preserve">, candidates agree target-almost surely. If </w:t>
      </w:r>
      <m:oMath>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r>
              <w:rPr>
                <w:rFonts w:ascii="Cambria Math" w:hAnsi="Cambria Math"/>
              </w:rPr>
              <m:t>F</m:t>
            </m:r>
          </m:e>
        </m:d>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d>
          <m:dPr>
            <m:ctrlPr>
              <w:rPr>
                <w:rFonts w:ascii="Cambria Math" w:hAnsi="Cambria Math"/>
              </w:rPr>
            </m:ctrlPr>
          </m:dPr>
          <m:e>
            <m:r>
              <w:rPr>
                <w:rFonts w:ascii="Cambria Math" w:hAnsi="Cambria Math"/>
              </w:rPr>
              <m:t>1</m:t>
            </m:r>
          </m:e>
        </m:d>
      </m:oMath>
      <w:r>
        <w:t xml:space="preserve">, with value zero assigned on </w:t>
      </w:r>
      <m:oMath>
        <m:r>
          <w:rPr>
            <w:rFonts w:ascii="Cambria Math" w:hAnsi="Cambria Math"/>
          </w:rPr>
          <m:t>H</m:t>
        </m:r>
        <m:r>
          <m:rPr>
            <m:sty m:val="p"/>
          </m:rPr>
          <w:rPr>
            <w:rFonts w:ascii="Cambria Math" w:hAnsi="Cambria Math"/>
          </w:rPr>
          <m:t>=</m:t>
        </m:r>
        <m:r>
          <w:rPr>
            <w:rFonts w:ascii="Cambria Math" w:hAnsi="Cambria Math"/>
          </w:rPr>
          <m:t>0</m:t>
        </m:r>
      </m:oMath>
      <w:r>
        <w:t xml:space="preserve">, and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then the two adaptive nuisance norms are bounded by their local norms plus </w:t>
      </w:r>
      <m:oMath>
        <m:sSub>
          <m:sSubPr>
            <m:ctrlPr>
              <w:rPr>
                <w:rFonts w:ascii="Cambria Math" w:hAnsi="Cambria Math"/>
              </w:rPr>
            </m:ctrlPr>
          </m:sSubPr>
          <m:e>
            <m:r>
              <w:rPr>
                <w:rFonts w:ascii="Cambria Math" w:hAnsi="Cambria Math"/>
              </w:rPr>
              <m:t>O</m:t>
            </m:r>
          </m:e>
          <m:sub>
            <m:r>
              <w:rPr>
                <w:rFonts w:ascii="Cambria Math" w:hAnsi="Cambria Math"/>
              </w:rPr>
              <m:t>p</m:t>
            </m:r>
          </m:sub>
        </m:sSub>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j</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e>
        </m:d>
      </m:oMath>
      <w:r>
        <w:t>. Thus (5) for the local candidates on the same reduced training samples implies (5) for the adaptive fits.</w:t>
      </w:r>
    </w:p>
    <w:p>
      <w:pPr>
        <w:pStyle w:val="BodyText"/>
      </w:pPr>
      <w:r>
        <w:rPr>
          <w:b/>
        </w:rPr>
        <w:t>What the guarantee does—and does not—say.</w:t>
      </w:r>
      <w:r>
        <w:t xml:space="preserve"> Under the stated moment-ratio condition, choosing the weight costs at most a constant times the inverse calibration-sample size in expected squared prediction error. Using a calibration sample proportional to the cluster size therefore preserves the local predictors’ existing learning conditions. The comparator is the local model fitted on the same reduced training sample, not a local model allowed to use the calibration observations too. This is not a promise that the selected mixture wins on every dataset or that either starting model is good.</w:t>
      </w:r>
    </w:p>
    <w:p w14:paraId="65FD5B9D" w14:textId="77777777" w:rsidR="008F2514" w:rsidRDefault="00000000">
      <w:pPr>
        <w:pStyle w:val="BodyText"/>
        <w:keepLines/>
      </w:pPr>
      <w:r>
        <w:rPr>
          <w:b/>
          <w:bCs/>
        </w:rPr>
        <w:t>Proof outline.</w:t>
      </w:r>
      <w:r>
        <w:t xml:space="preserve"> Population and empirical first-order inequalities on the interval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bound excess risk by </w:t>
      </w:r>
      <m:oMath>
        <m:r>
          <w:rPr>
            <w:rFonts w:ascii="Cambria Math" w:hAnsi="Cambria Math"/>
          </w:rPr>
          <m:t>4</m:t>
        </m:r>
        <m:sSup>
          <m:sSupPr>
            <m:ctrlPr>
              <w:rPr>
                <w:rFonts w:ascii="Cambria Math" w:hAnsi="Cambria Math"/>
              </w:rPr>
            </m:ctrlPr>
          </m:sSupPr>
          <m:e>
            <m:r>
              <w:rPr>
                <w:rFonts w:ascii="Cambria Math" w:hAnsi="Cambria Math"/>
              </w:rPr>
              <m:t>W</m:t>
            </m:r>
          </m:e>
          <m:sup>
            <m:r>
              <w:rPr>
                <w:rFonts w:ascii="Cambria Math" w:hAnsi="Cambria Math"/>
              </w:rPr>
              <m:t>2</m:t>
            </m:r>
          </m:sup>
        </m:sSup>
        <m:r>
          <m:rPr>
            <m:sty m:val="p"/>
          </m:rPr>
          <w:rPr>
            <w:rFonts w:ascii="Cambria Math" w:hAnsi="Cambria Math"/>
          </w:rPr>
          <m:t>/</m:t>
        </m:r>
        <m:r>
          <w:rPr>
            <w:rFonts w:ascii="Cambria Math" w:hAnsi="Cambria Math"/>
          </w:rPr>
          <m:t>H</m:t>
        </m:r>
      </m:oMath>
      <w:r>
        <w:t xml:space="preserve"> when the empirical disagreement second moment exceeds </w:t>
      </w:r>
      <m:oMath>
        <m:r>
          <w:rPr>
            <w:rFonts w:ascii="Cambria Math" w:hAnsi="Cambria Math"/>
          </w:rPr>
          <m:t>H</m:t>
        </m:r>
        <m:r>
          <m:rPr>
            <m:sty m:val="p"/>
          </m:rPr>
          <w:rPr>
            <w:rFonts w:ascii="Cambria Math" w:hAnsi="Cambria Math"/>
          </w:rPr>
          <m:t>/</m:t>
        </m:r>
        <m:r>
          <w:rPr>
            <w:rFonts w:ascii="Cambria Math" w:hAnsi="Cambria Math"/>
          </w:rPr>
          <m:t>2</m:t>
        </m:r>
      </m:oMath>
      <w:r>
        <w:t xml:space="preserve">, and by </w:t>
      </w:r>
      <m:oMath>
        <m:r>
          <w:rPr>
            <w:rFonts w:ascii="Cambria Math" w:hAnsi="Cambria Math"/>
          </w:rPr>
          <m:t>H</m:t>
        </m:r>
        <m:r>
          <m:rPr>
            <m:sty m:val="p"/>
          </m:rPr>
          <w:rPr>
            <w:rFonts w:ascii="Cambria Math" w:hAnsi="Cambria Math"/>
          </w:rPr>
          <m:t>+</m:t>
        </m:r>
        <m:r>
          <w:rPr>
            <w:rFonts w:ascii="Cambria Math" w:hAnsi="Cambria Math"/>
          </w:rPr>
          <m:t>2</m:t>
        </m:r>
        <m:d>
          <m:dPr>
            <m:begChr m:val="|"/>
            <m:endChr m:val="|"/>
            <m:ctrlPr>
              <w:rPr>
                <w:rFonts w:ascii="Cambria Math" w:hAnsi="Cambria Math"/>
              </w:rPr>
            </m:ctrlPr>
          </m:dPr>
          <m:e>
            <m:r>
              <w:rPr>
                <w:rFonts w:ascii="Cambria Math" w:hAnsi="Cambria Math"/>
              </w:rPr>
              <m:t>W</m:t>
            </m:r>
          </m:e>
        </m:d>
      </m:oMath>
      <w:r>
        <w:t xml:space="preserve"> otherwise, where </w:t>
      </w:r>
      <m:oMath>
        <m:r>
          <w:rPr>
            <w:rFonts w:ascii="Cambria Math" w:hAnsi="Cambria Math"/>
          </w:rPr>
          <m:t>W</m:t>
        </m:r>
      </m:oMath>
      <w:r>
        <w:t xml:space="preserve"> is the centered empirical loss derivative. Chebyshev and Cauchy–Schwarz give (8), including empirical zero-denominator events. Conditional Markov gives the rate bound. Substitution into (5) adds only </w:t>
      </w:r>
      <m:oMath>
        <m:sSub>
          <m:sSubPr>
            <m:ctrlPr>
              <w:rPr>
                <w:rFonts w:ascii="Cambria Math" w:hAnsi="Cambria Math"/>
              </w:rPr>
            </m:ctrlPr>
          </m:sSubPr>
          <m:e>
            <m:r>
              <w:rPr>
                <w:rFonts w:ascii="Cambria Math" w:hAnsi="Cambria Math"/>
              </w:rPr>
              <m:t>O</m:t>
            </m:r>
          </m:e>
          <m:sub>
            <m:r>
              <w:rPr>
                <w:rFonts w:ascii="Cambria Math" w:hAnsi="Cambria Math"/>
              </w:rPr>
              <m:t>p</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j</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e>
        </m:d>
      </m:oMath>
      <w:r>
        <w:t xml:space="preserve">. Supplement Sections 3–5 give the full proof, the conditional-to-unconditional step, and explicit sufficient moment conditions. </w:t>
      </w:r>
      <m:oMath>
        <m:r>
          <m:rPr>
            <m:sty m:val="p"/>
          </m:rPr>
          <w:rPr>
            <w:rFonts w:ascii="Cambria Math" w:hAnsi="Cambria Math"/>
          </w:rPr>
          <m:t>▫</m:t>
        </m:r>
      </m:oMath>
    </w:p>
    <w:p w14:paraId="43B0733F" w14:textId="77777777" w:rsidR="008F2514" w:rsidRDefault="00000000">
      <w:pPr>
        <w:pStyle w:val="BodyText"/>
      </w:pPr>
      <w:r>
        <w:rPr>
          <w:sz w:val="22"/>
        </w:rPr>
        <w:t xml:space="preserve">The moment-ratio condition also matters in practice: it controls how variable the weight-selection calculation can be relative to how much the models disagree. A few rare observations with enormous prediction differences or errors can make the bound large. The supplement states bounded and fourth-moment sufficient conditions; bounding outcome predictions alone is not a justification for assuming that the true outcome regression is bounded. The result does not require a correct borrowed model or shared covariate support. When the training mixture includes the target cluster with share </w:t>
      </w:r>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&gt;</m:t>
        </m:r>
        <m:r>
          <w:rPr>
            <w:rFonts w:ascii="Cambria Math" w:hAnsi="Cambria Math"/>
          </w:rPr>
          <m:t>0</m:t>
        </m:r>
      </m:oMath>
      <w:r>
        <w:rPr>
          <w:sz w:val="22"/>
        </w:rPr>
        <w:t xml:space="preserve">, the measure bound </w:t>
      </w:r>
      <m:oMath>
        <m:sSub>
          <m:sSubPr>
            <m:ctrlPr>
              <w:rPr>
                <w:rFonts w:ascii="Cambria Math" w:hAnsi="Cambria Math"/>
              </w:rPr>
            </m:ctrlPr>
          </m:sSubPr>
          <m:e>
            <m:r>
              <w:rPr>
                <w:rFonts w:ascii="Cambria Math" w:hAnsi="Cambria Math"/>
              </w:rPr>
              <m:t>P</m:t>
            </m:r>
          </m:e>
          <m:sub>
            <m:r>
              <w:rPr>
                <w:rFonts w:ascii="Cambria Math" w:hAnsi="Cambria Math"/>
              </w:rPr>
              <m:t>X</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j</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P</m:t>
            </m:r>
          </m:e>
          <m:sub>
            <m:r>
              <w:rPr>
                <w:rFonts w:ascii="Cambria Math" w:hAnsi="Cambria Math"/>
              </w:rPr>
              <m:t>X</m:t>
            </m:r>
            <m:r>
              <m:rPr>
                <m:sty m:val="p"/>
              </m:rPr>
              <w:rPr>
                <w:rFonts w:ascii="Cambria Math" w:hAnsi="Cambria Math"/>
              </w:rPr>
              <m:t>,mix</m:t>
            </m:r>
          </m:sub>
        </m:sSub>
      </m:oMath>
      <w:r>
        <w:rPr>
          <w:sz w:val="22"/>
        </w:rPr>
        <w:t xml:space="preserve"> holds even if clusters contain different ranges of covariate values. That does not make unsupported extrapolation informative; it is a reason to retain a local fallback.</w:t>
      </w:r>
    </w:p>
    <w:p w14:paraId="6342103A" w14:textId="1A1F5F51" w:rsidR="008F2514" w:rsidRDefault="00000000">
      <w:pPr>
        <w:pStyle w:val="Heading3"/>
      </w:pPr>
      <w:r>
        <w:rPr>
          <w:sz w:val="22"/>
        </w:rPr>
        <w:t>5.2 Models that share some relationships but allow local differences</w:t>
      </w:r>
    </w:p>
    <w:p w14:paraId="787560D3" w14:textId="77777777" w:rsidR="008F2514" w:rsidRDefault="00000000">
      <w:r>
        <w:rPr>
          <w:sz w:val="22"/>
        </w:rPr>
        <w:t xml:space="preserve">A borrowing model need not impose the same predictions in every cluster. It might estimate a common nonlinear relationship between patient age and outcomes while allowing each hospital its own baseline outcome level: </w:t>
      </w:r>
      <m:oMath>
        <m:sSub>
          <m:sSubPr>
            <m:ctrlPr>
              <w:rPr>
                <w:rFonts w:ascii="Cambria Math" w:hAnsi="Cambria Math"/>
              </w:rPr>
            </m:ctrlPr>
          </m:sSubPr>
          <m:e>
            <m:r>
              <w:rPr>
                <w:rFonts w:ascii="Cambria Math" w:hAnsi="Cambria Math"/>
              </w:rPr>
              <m:t>f</m:t>
            </m:r>
          </m:e>
          <m:sub>
            <m:r>
              <w:rPr>
                <w:rFonts w:ascii="Cambria Math" w:hAnsi="Cambria Math"/>
              </w:rPr>
              <m:t>0</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oMath>
      <w:r>
        <w:rPr>
          <w:sz w:val="22"/>
        </w:rPr>
        <w:t xml:space="preserve">. Another model could add a small set of local adjustments, such as a hospital-specific age slope: </w:t>
      </w:r>
      <m:oMath>
        <m:sSub>
          <m:sSubPr>
            <m:ctrlPr>
              <w:rPr>
                <w:rFonts w:ascii="Cambria Math" w:hAnsi="Cambria Math"/>
              </w:rPr>
            </m:ctrlPr>
          </m:sSubPr>
          <m:e>
            <m:r>
              <w:rPr>
                <w:rFonts w:ascii="Cambria Math" w:hAnsi="Cambria Math"/>
              </w:rPr>
              <m:t>f</m:t>
            </m:r>
          </m:e>
          <m:sub>
            <m:r>
              <w:rPr>
                <w:rFonts w:ascii="Cambria Math" w:hAnsi="Cambria Math"/>
              </w:rPr>
              <m:t>0</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x</m:t>
            </m:r>
          </m:e>
        </m:d>
      </m:oMath>
      <w:r>
        <w:rPr>
          <w:sz w:val="22"/>
        </w:rPr>
        <w:t>. A third could learn useful transformations of the controls from all training clusters, then use local data to relate those transformations to the response. These are candidate models, not assumptions that the shared relationships are true. Simply adding hospital identity as a predictor does not prove that the algorithm shares information usefully or learns fast enough.</w:t>
      </w:r>
    </w:p>
    <w:p w14:paraId="4A108419" w14:textId="77777777" w:rsidR="008F2514" w:rsidRDefault="00000000">
      <w:pPr>
        <w:pStyle w:val="BodyText"/>
      </w:pPr>
      <w:r>
        <w:rPr>
          <w:sz w:val="22"/>
        </w:rPr>
        <w:t xml:space="preserve">We may compare several borrowing models using only the base-training data, then present the chosen borrowing model and the local model to the calibration step. Proposition 2 covers these two fixed predictions. It does not automatically guarantee that an arbitrary search over many models finds the best member of the entire library; that requires an additional cross-validation result and its assumptions (van der Vaart, Dudoit, and van der Laan 2006). With a fixed number </w:t>
      </w:r>
      <m:oMath>
        <m:r>
          <w:rPr>
            <w:rFonts w:ascii="Cambria Math" w:hAnsi="Cambria Math"/>
          </w:rPr>
          <m:t>q</m:t>
        </m:r>
      </m:oMath>
      <w:r>
        <w:rPr>
          <w:sz w:val="22"/>
        </w:rPr>
        <w:t xml:space="preserve"> of equally sized clusters, replacing a local sample of size </w:t>
      </w:r>
      <m:oMath>
        <m:r>
          <w:rPr>
            <w:rFonts w:ascii="Cambria Math" w:hAnsi="Cambria Math"/>
          </w:rPr>
          <m:t>n</m:t>
        </m:r>
      </m:oMath>
      <w:r>
        <w:rPr>
          <w:sz w:val="22"/>
        </w:rPr>
        <w:t xml:space="preserve"> by a pooled sample of size </w:t>
      </w:r>
      <m:oMath>
        <m:r>
          <w:rPr>
            <w:rFonts w:ascii="Cambria Math" w:hAnsi="Cambria Math"/>
          </w:rPr>
          <m:t>qn</m:t>
        </m:r>
      </m:oMath>
      <w:r>
        <w:rPr>
          <w:sz w:val="22"/>
        </w:rPr>
        <w:t xml:space="preserve"> ordinarily improves the constant in a convergence rate, not the rate’s exponent. The finite-sample gain can nevertheless matter when local samples are modest.</w:t>
      </w:r>
    </w:p>
    <w:p>
      <w:pPr>
        <w:pStyle w:val="Heading3"/>
      </w:pPr>
      <w:r>
        <w:t>5.3 Repeating the split without evaluating a model on its own training data</w:t>
      </w:r>
    </w:p>
    <w:p w14:paraId="76A8A040" w14:textId="77777777" w:rsidR="008F2514" w:rsidRDefault="00000000">
      <w:pPr>
        <w:pStyle w:val="BodyText"/>
      </w:pPr>
      <w:r>
        <w:rPr>
          <w:sz w:val="22"/>
        </w:rPr>
        <w:t xml:space="preserve">For a given evaluation fold, we can repeat the division of the remaining observations into base training and calibration. These repetitions are </w:t>
      </w:r>
      <w:r>
        <w:rPr>
          <w:b/>
          <w:sz w:val="22"/>
        </w:rPr>
        <w:t>inner rotations</w:t>
      </w:r>
      <w:r>
        <w:rPr>
          <w:sz w:val="22"/>
        </w:rPr>
        <w:t>: the outer evaluation group stays untouched while the other observations change jobs. Each rotation produces a treatment predictor and an outcome predictor that were fitted and calibrated without using the evaluation observations. Keep those two predictors together, calculate their score on the evaluation group, and average scores across a fixed number of rotations using prespecified nonnegative weights that sum to one. Average their squared treatment residuals with the same weights to obtain the denominator. If each pair meets (5), the average has the same oracle approximation; Supplement Section 14 proves this result. Do not choose the preferred rotation by looking at the evaluation outcomes. Likewise, refitting a model on its calibration observations creates a different model; the earlier validation guarantee does not automatically apply to that refit.</w:t>
      </w:r>
    </w:p>
    <w:p w14:paraId="3E18AA0A" w14:textId="70A4D1E6" w:rsidR="008F2514" w:rsidRDefault="00000000">
      <w:pPr>
        <w:pStyle w:val="Heading2"/>
      </w:pPr>
      <w:r>
        <w:rPr>
          <w:sz w:val="22"/>
        </w:rPr>
        <w:t>6. Allowing dependence among nearby observations within a cluster</w:t>
      </w:r>
    </w:p>
    <w:p>
      <w:pPr>
        <w:pStyle w:val="BodyText"/>
      </w:pPr>
      <w:r>
        <w:t>The baseline independence assumption excludes repeated measurements that remain related over time. This extension allows an ordered sequence in each cluster in which dependence stops beyond a fixed, known range. For example, if the range is two observation periods, values may be related within two periods, but collections of observations separated by more than two periods must be independent. The distribution must also be stable over time, as specified by stationarity below. This is stronger than saying that correlation merely becomes small at long lags.</w:t>
      </w:r>
    </w:p>
    <w:p w14:paraId="534025F6" w14:textId="77777777" w:rsidR="008F2514" w:rsidRDefault="00000000">
      <w:pPr>
        <w:keepLines/>
      </w:pPr>
      <w:r>
        <w:rPr>
          <w:b/>
          <w:bCs/>
        </w:rPr>
        <w:t>Corollary 1.</w:t>
      </w:r>
      <w:r>
        <w:t xml:space="preserve"> Replace within-cluster iid sampling by a strictly stationary process with fixed finite dependence range </w:t>
      </w:r>
      <m:oMath>
        <m:r>
          <w:rPr>
            <w:rFonts w:ascii="Cambria Math" w:hAnsi="Cambria Math"/>
          </w:rPr>
          <m:t>R</m:t>
        </m:r>
      </m:oMath>
      <w:r>
        <w:t xml:space="preserve">. Here the dependence assumption is the strong dependency-set form: sigma-fields generated by any two index sets separated everywhere by more than </w:t>
      </w:r>
      <m:oMath>
        <m:r>
          <w:rPr>
            <w:rFonts w:ascii="Cambria Math" w:hAnsi="Cambria Math"/>
          </w:rPr>
          <m:t>R</m:t>
        </m:r>
      </m:oMath>
      <w:r>
        <w:t xml:space="preserve"> are independent. Place buffers longer than </w:t>
      </w:r>
      <m:oMath>
        <m:r>
          <w:rPr>
            <w:rFonts w:ascii="Cambria Math" w:hAnsi="Cambria Math"/>
          </w:rPr>
          <m:t>R</m:t>
        </m:r>
      </m:oMath>
      <w:r>
        <w:t xml:space="preserve"> between target base-training, calibration, and evaluation blocks. Use finitely many blocks; exclude buffers from scoring; assume the corresponding per-block conditions (5). If the oracle process </w:t>
      </w:r>
      <m:oMath>
        <m:r>
          <w:rPr>
            <w:rFonts w:ascii="Cambria Math" w:hAnsi="Cambria Math"/>
          </w:rPr>
          <m:t>VU</m:t>
        </m:r>
      </m:oMath>
      <w:r>
        <w:t xml:space="preserve"> has positive finite long-run variance </w:t>
      </w:r>
      <m:oMath>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R</m:t>
            </m:r>
          </m:sub>
          <m:sup>
            <m:r>
              <w:rPr>
                <w:rFonts w:ascii="Cambria Math" w:hAnsi="Cambria Math"/>
              </w:rPr>
              <m:t>R</m:t>
            </m:r>
          </m:sup>
          <m:e>
            <m:sSub>
              <m:sSubPr>
                <m:ctrlPr>
                  <w:rPr>
                    <w:rFonts w:ascii="Cambria Math" w:hAnsi="Cambria Math"/>
                  </w:rPr>
                </m:ctrlPr>
              </m:sSubPr>
              <m:e>
                <m:r>
                  <m:rPr>
                    <m:sty m:val="p"/>
                  </m:rPr>
                  <w:rPr>
                    <w:rFonts w:ascii="Cambria Math" w:hAnsi="Cambria Math"/>
                  </w:rPr>
                  <m:t>Cov</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sSub>
              <m:sSubPr>
                <m:ctrlPr>
                  <w:rPr>
                    <w:rFonts w:ascii="Cambria Math" w:hAnsi="Cambria Math"/>
                  </w:rPr>
                </m:ctrlPr>
              </m:sSubPr>
              <m:e>
                <m: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sSub>
              <m:sSubPr>
                <m:ctrlPr>
                  <w:rPr>
                    <w:rFonts w:ascii="Cambria Math" w:hAnsi="Cambria Math"/>
                  </w:rPr>
                </m:ctrlPr>
              </m:sSubPr>
              <m:e>
                <m:r>
                  <w:rPr>
                    <w:rFonts w:ascii="Cambria Math" w:hAnsi="Cambria Math"/>
                  </w:rPr>
                  <m:t>U</m:t>
                </m:r>
              </m:e>
              <m:sub>
                <m:r>
                  <w:rPr>
                    <w:rFonts w:ascii="Cambria Math" w:hAnsi="Cambria Math"/>
                  </w:rPr>
                  <m:t>h</m:t>
                </m:r>
              </m:sub>
            </m:sSub>
          </m:e>
        </m:d>
      </m:oMath>
      <w:r>
        <w:t xml:space="preserve">, Proposition 1 holds with variance </w:t>
      </w:r>
      <m:oMath>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j</m:t>
            </m:r>
          </m:sub>
          <m:sup>
            <m:r>
              <w:rPr>
                <w:rFonts w:ascii="Cambria Math" w:hAnsi="Cambria Math"/>
              </w:rPr>
              <m:t>2</m:t>
            </m:r>
          </m:sup>
        </m:sSubSup>
      </m:oMath>
      <w:r>
        <w:t xml:space="preserve">. In Proposition 2, the risk penalty increases by at most </w:t>
      </w:r>
      <m:oMath>
        <m:r>
          <w:rPr>
            <w:rFonts w:ascii="Cambria Math" w:hAnsi="Cambria Math"/>
          </w:rPr>
          <m:t>2R</m:t>
        </m:r>
        <m:r>
          <m:rPr>
            <m:sty m:val="p"/>
          </m:rPr>
          <w:rPr>
            <w:rFonts w:ascii="Cambria Math" w:hAnsi="Cambria Math"/>
          </w:rPr>
          <m:t>+</m:t>
        </m:r>
        <m:r>
          <w:rPr>
            <w:rFonts w:ascii="Cambria Math" w:hAnsi="Cambria Math"/>
          </w:rPr>
          <m:t>1</m:t>
        </m:r>
      </m:oMath>
      <w:r>
        <w:t>.</w:t>
      </w:r>
    </w:p>
    <w:p w14:paraId="5EFD3086" w14:textId="77777777" w:rsidR="008F2514" w:rsidRDefault="00000000">
      <w:pPr>
        <w:pStyle w:val="BodyText"/>
      </w:pPr>
      <w:r>
        <w:rPr>
          <w:b/>
          <w:bCs/>
        </w:rPr>
        <w:t>Proof.</w:t>
      </w:r>
      <w:r>
        <w:t xml:space="preserve"> The dependency-set assumption gives the independence from the </w:t>
      </w:r>
      <w:r>
        <w:rPr>
          <w:i/>
          <w:iCs/>
        </w:rPr>
        <w:t>union</w:t>
      </w:r>
      <w:r>
        <w:t xml:space="preserve"> of training and calibration observations needed when conditioning on a scoring block. Covariance Cauchy–Schwarz increases each relevant variance bound by at most </w:t>
      </w:r>
      <m:oMath>
        <m:r>
          <w:rPr>
            <w:rFonts w:ascii="Cambria Math" w:hAnsi="Cambria Math"/>
          </w:rPr>
          <m:t>2R</m:t>
        </m:r>
        <m:r>
          <m:rPr>
            <m:sty m:val="p"/>
          </m:rPr>
          <w:rPr>
            <w:rFonts w:ascii="Cambria Math" w:hAnsi="Cambria Math"/>
          </w:rPr>
          <m:t>+</m:t>
        </m:r>
        <m:r>
          <w:rPr>
            <w:rFonts w:ascii="Cambria Math" w:hAnsi="Cambria Math"/>
          </w:rPr>
          <m:t>1</m:t>
        </m:r>
      </m:oMath>
      <w:r>
        <w:t xml:space="preserve">. The product bound is unchanged. The fixed number of discarded buffers contributes </w:t>
      </w:r>
      <m:oMath>
        <m:sSub>
          <m:sSubPr>
            <m:ctrlPr>
              <w:rPr>
                <w:rFonts w:ascii="Cambria Math" w:hAnsi="Cambria Math"/>
              </w:rPr>
            </m:ctrlPr>
          </m:sSubPr>
          <m:e>
            <m:r>
              <w:rPr>
                <w:rFonts w:ascii="Cambria Math" w:hAnsi="Cambria Math"/>
              </w:rPr>
              <m:t>o</m:t>
            </m:r>
          </m:e>
          <m:sub>
            <m:r>
              <w:rPr>
                <w:rFonts w:ascii="Cambria Math" w:hAnsi="Cambria Math"/>
              </w:rPr>
              <m:t>p</m:t>
            </m:r>
          </m:sub>
        </m:sSub>
        <m:d>
          <m:dPr>
            <m:ctrlPr>
              <w:rPr>
                <w:rFonts w:ascii="Cambria Math" w:hAnsi="Cambria Math"/>
              </w:rPr>
            </m:ctrlPr>
          </m:dPr>
          <m:e>
            <m:r>
              <w:rPr>
                <w:rFonts w:ascii="Cambria Math" w:hAnsi="Cambria Math"/>
              </w:rPr>
              <m:t>1</m:t>
            </m:r>
          </m:e>
        </m:d>
      </m:oMath>
      <w:r>
        <w:t xml:space="preserve"> to the normalized oracle sum. The finite-range central limit theorem and the same sign argument finish the proof. Supplement Section 7 also gives a conditional-cluster-environment extension and a variance-level, but not full inference, result for broader dependence. </w:t>
      </w:r>
      <m:oMath>
        <m:r>
          <m:rPr>
            <m:sty m:val="p"/>
          </m:rPr>
          <w:rPr>
            <w:rFonts w:ascii="Cambria Math" w:hAnsi="Cambria Math"/>
          </w:rPr>
          <m:t>▫</m:t>
        </m:r>
      </m:oMath>
    </w:p>
    <w:p w14:paraId="323B5C92" w14:textId="77777777" w:rsidR="008F2514" w:rsidRDefault="00000000">
      <w:pPr>
        <w:pStyle w:val="BodyText"/>
      </w:pPr>
      <w:r>
        <w:rPr>
          <w:sz w:val="22"/>
        </w:rPr>
        <w:t>Buffers are gaps of unused scoring observations between the training, calibration, and evaluation blocks. Making a gap longer than the dependence range prevents information in one block from revealing outcomes in another. In the corollary, “sigma-fields” refers to all information in the specified collections of observations; the assumption requires independence of those collections, not just zero pairwise correlation. The long-run variance includes covariance between nearby score contributions as well as their individual variances. It replaces the independence-based variance in the test’s limiting distribution. A persistent cluster-wide shock or dependence that continues at every lag is not covered by this finite-range result. The supplement’s conditional-environment extension has additional assumptions of its own.</w:t>
      </w:r>
    </w:p>
    <w:p w14:paraId="2A5B295A" w14:textId="77777777" w:rsidR="008F2514" w:rsidRDefault="00000000">
      <w:pPr>
        <w:pStyle w:val="Heading2"/>
      </w:pPr>
      <w:r>
        <w:rPr>
          <w:sz w:val="22"/>
        </w:rPr>
        <w:t>7. When treatment probabilities are known, outcome prediction can be less demanding</w:t>
      </w:r>
    </w:p>
    <w:p>
      <w:pPr>
        <w:pStyle w:val="BodyText"/>
      </w:pPr>
      <w:r>
        <w:t>In an experiment that independently randomizes treatment among individuals within each site, the researcher may know each person’s treatment probability from the design. Then there is no need to estimate the treatment regression. This removes the interaction between treatment-prediction error and outcome-prediction error. As a result, an outcome model can remain systematically wrong while the score test remains asymptotically valid under the conditions below.</w:t>
      </w:r>
    </w:p>
    <w:p w14:paraId="064E3325" w14:textId="77777777" w:rsidR="008F2514" w:rsidRDefault="00000000">
      <w:r>
        <w:rPr>
          <w:sz w:val="22"/>
        </w:rPr>
        <w:t xml:space="preserve">Suppose </w:t>
      </w:r>
      <m:oMath>
        <m:sSub>
          <m:sSubPr>
            <m:ctrlPr>
              <w:rPr>
                <w:rFonts w:ascii="Cambria Math" w:hAnsi="Cambria Math"/>
              </w:rPr>
            </m:ctrlPr>
          </m:sSubPr>
          <m:e>
            <m:r>
              <w:rPr>
                <w:rFonts w:ascii="Cambria Math" w:hAnsi="Cambria Math"/>
              </w:rPr>
              <m:t>m</m:t>
            </m:r>
          </m:e>
          <m:sub>
            <m:r>
              <w:rPr>
                <w:rFonts w:ascii="Cambria Math" w:hAnsi="Cambria Math"/>
              </w:rPr>
              <m:t>0</m:t>
            </m:r>
            <m:r>
              <m:rPr>
                <m:sty m:val="p"/>
              </m:rPr>
              <w:rPr>
                <w:rFonts w:ascii="Cambria Math" w:hAnsi="Cambria Math"/>
              </w:rPr>
              <m:t>,</m:t>
            </m:r>
            <m:r>
              <w:rPr>
                <w:rFonts w:ascii="Cambria Math" w:hAnsi="Cambria Math"/>
              </w:rPr>
              <m:t>j</m:t>
            </m:r>
          </m:sub>
        </m:sSub>
      </m:oMath>
      <w:r>
        <w:rPr>
          <w:sz w:val="22"/>
        </w:rPr>
        <w:t xml:space="preserve"> is known and used exactly. Require </w:t>
      </w:r>
      <m:oMath>
        <m:sSub>
          <m:sSubPr>
            <m:ctrlPr>
              <w:rPr>
                <w:rFonts w:ascii="Cambria Math" w:hAnsi="Cambria Math"/>
              </w:rPr>
            </m:ctrlPr>
          </m:sSubPr>
          <m:e>
            <m:acc>
              <m:accPr>
                <m:ctrlPr>
                  <w:rPr>
                    <w:rFonts w:ascii="Cambria Math" w:hAnsi="Cambria Math"/>
                  </w:rPr>
                </m:ctrlPr>
              </m:accPr>
              <m:e>
                <m:r>
                  <m:rPr>
                    <m:scr m:val="script"/>
                    <m:sty m:val="p"/>
                  </m:rPr>
                  <w:rPr>
                    <w:rFonts w:ascii="Cambria Math" w:hAnsi="Cambria Math"/>
                  </w:rPr>
                  <m:t>l</m:t>
                </m:r>
              </m:e>
            </m:acc>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j</m:t>
            </m:r>
          </m:sub>
          <m:sup>
            <m:r>
              <m:rPr>
                <m:sty m:val="p"/>
              </m:rPr>
              <w:rPr>
                <w:rFonts w:ascii="Cambria Math" w:hAnsi="Cambria Math"/>
              </w:rPr>
              <m:t>†</m:t>
            </m:r>
          </m:sup>
        </m:sSubSup>
      </m:oMath>
      <w:r>
        <w:rPr>
          <w:sz w:val="22"/>
        </w:rPr>
        <w:t xml:space="preserve"> in </w:t>
      </w:r>
      <m:oMath>
        <m:sSup>
          <m:sSupPr>
            <m:ctrlPr>
              <w:rPr>
                <w:rFonts w:ascii="Cambria Math" w:hAnsi="Cambria Math"/>
              </w:rPr>
            </m:ctrlPr>
          </m:sSupPr>
          <m:e>
            <m:r>
              <w:rPr>
                <w:rFonts w:ascii="Cambria Math" w:hAnsi="Cambria Math"/>
              </w:rPr>
              <m:t>L</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X</m:t>
                </m:r>
                <m:r>
                  <m:rPr>
                    <m:sty m:val="p"/>
                  </m:rPr>
                  <w:rPr>
                    <w:rFonts w:ascii="Cambria Math" w:hAnsi="Cambria Math"/>
                  </w:rPr>
                  <m:t>,</m:t>
                </m:r>
                <m:r>
                  <w:rPr>
                    <w:rFonts w:ascii="Cambria Math" w:hAnsi="Cambria Math"/>
                  </w:rPr>
                  <m:t>j</m:t>
                </m:r>
              </m:sub>
            </m:sSub>
          </m:e>
        </m:d>
      </m:oMath>
      <w:r>
        <w:rPr>
          <w:sz w:val="22"/>
        </w:rPr>
        <w:t xml:space="preserve"> for every fold, with the same deterministic limit within a cluster. In words, the fitted outcome predictions must settle toward a fixed function as the sample grows, but that function need not be the true outcome regression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r>
              <m:rPr>
                <m:sty m:val="p"/>
              </m:rPr>
              <w:rPr>
                <w:rFonts w:ascii="Cambria Math" w:hAnsi="Cambria Math"/>
              </w:rPr>
              <m:t>,</m:t>
            </m:r>
            <m:r>
              <w:rPr>
                <w:rFonts w:ascii="Cambria Math" w:hAnsi="Cambria Math"/>
              </w:rPr>
              <m:t>j</m:t>
            </m:r>
          </m:sub>
        </m:sSub>
      </m:oMath>
      <w:r>
        <w:rPr>
          <w:sz w:val="22"/>
        </w:rPr>
        <w:t xml:space="preserve">. Write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j</m:t>
            </m:r>
          </m:sub>
          <m:sup>
            <m:r>
              <m:rPr>
                <m:sty m:val="p"/>
              </m:rPr>
              <w:rPr>
                <w:rFonts w:ascii="Cambria Math" w:hAnsi="Cambria Math"/>
              </w:rPr>
              <m:t>†</m:t>
            </m:r>
          </m:sup>
        </m:sSubSup>
      </m:oMath>
      <w:r>
        <w:rPr>
          <w:sz w:val="22"/>
        </w:rPr>
        <w:t xml:space="preserve"> for the discrepancy between the true regression and this limiting prediction.</w:t>
      </w:r>
    </w:p>
    <w:p w14:paraId="010CD6EE" w14:textId="77777777" w:rsidR="008F2514" w:rsidRDefault="00000000">
      <w:pPr>
        <w:pStyle w:val="BodyText"/>
        <w:keepNext/>
        <w:keepLines/>
      </w:pPr>
      <w:r>
        <w:rPr>
          <w:b/>
          <w:bCs/>
        </w:rPr>
        <w:lastRenderedPageBreak/>
        <w:t>Corollary 2 (known treatment regression).</w:t>
      </w:r>
      <w:r>
        <w:t xml:space="preserve"> Retain iid sampling, sample separation, </w:t>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and bounded </w:t>
      </w:r>
      <m:oMath>
        <m:sSub>
          <m:sSubPr>
            <m:ctrlPr>
              <w:rPr>
                <w:rFonts w:ascii="Cambria Math" w:hAnsi="Cambria Math"/>
              </w:rPr>
            </m:ctrlPr>
          </m:sSubPr>
          <m:e>
            <m:r>
              <w:rPr>
                <w:rFonts w:ascii="Cambria Math" w:hAnsi="Cambria Math"/>
              </w:rPr>
              <m:t>E</m:t>
            </m:r>
          </m:e>
          <m:sub>
            <m:r>
              <w:rPr>
                <w:rFonts w:ascii="Cambria Math" w:hAnsi="Cambria Math"/>
              </w:rPr>
              <m:t>j</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X</m:t>
            </m:r>
          </m:e>
        </m:d>
      </m:oMath>
      <w:r>
        <w:t xml:space="preserve">. Suppose </w:t>
      </w:r>
      <m:oMath>
        <m:r>
          <w:rPr>
            <w:rFonts w:ascii="Cambria Math" w:hAnsi="Cambria Math"/>
          </w:rPr>
          <m:t>V</m:t>
        </m:r>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oMath>
      <w:r>
        <w:t xml:space="preserve"> has a finite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δ</m:t>
            </m:r>
          </m:e>
        </m:d>
      </m:oMath>
      <w:r>
        <w:t xml:space="preserve"> moment and positive variance. Then Proposition 1 holds with</w:t>
      </w:r>
    </w:p>
    <w:p w14:paraId="649E1CAF" w14:textId="77777777" w:rsidR="008F2514" w:rsidRDefault="00000000">
      <w:pPr>
        <w:pStyle w:val="BodyText"/>
        <w:keepLines/>
      </w:pPr>
      <m:oMathPara>
        <m:oMathParaPr>
          <m:jc m:val="center"/>
        </m:oMathParaPr>
        <m:oMath>
          <m:sSubSup>
            <m:sSubSupPr>
              <m:ctrlPr>
                <w:rPr>
                  <w:rFonts w:ascii="Cambria Math" w:hAnsi="Cambria Math"/>
                </w:rPr>
              </m:ctrlPr>
            </m:sSubSupPr>
            <m:e>
              <m:r>
                <w:rPr>
                  <w:rFonts w:ascii="Cambria Math" w:hAnsi="Cambria Math"/>
                </w:rPr>
                <m:t>ω</m:t>
              </m:r>
            </m:e>
            <m:sub>
              <m:r>
                <w:rPr>
                  <w:rFonts w:ascii="Cambria Math" w:hAnsi="Cambria Math"/>
                </w:rPr>
                <m:t>j</m:t>
              </m:r>
              <m:r>
                <m:rPr>
                  <m:sty m:val="p"/>
                </m:rPr>
                <w:rPr>
                  <w:rFonts w:ascii="Cambria Math" w:hAnsi="Cambria Math"/>
                </w:rPr>
                <m:t>,†</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j</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2</m:t>
                      </m:r>
                    </m:sup>
                  </m:sSup>
                  <m:sSup>
                    <m:sSupPr>
                      <m:ctrlPr>
                        <w:rPr>
                          <w:rFonts w:ascii="Cambria Math" w:hAnsi="Cambria Math"/>
                        </w:rPr>
                      </m:ctrlPr>
                    </m:sSupPr>
                    <m:e>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e>
                    <m:sup>
                      <m:r>
                        <w:rPr>
                          <w:rFonts w:ascii="Cambria Math" w:hAnsi="Cambria Math"/>
                        </w:rPr>
                        <m:t>2</m:t>
                      </m:r>
                    </m:sup>
                  </m:sSup>
                </m:e>
              </m:d>
            </m:num>
            <m:den>
              <m:sSubSup>
                <m:sSubSupPr>
                  <m:ctrlPr>
                    <w:rPr>
                      <w:rFonts w:ascii="Cambria Math" w:hAnsi="Cambria Math"/>
                    </w:rPr>
                  </m:ctrlPr>
                </m:sSubSupPr>
                <m:e>
                  <m:r>
                    <w:rPr>
                      <w:rFonts w:ascii="Cambria Math" w:hAnsi="Cambria Math"/>
                    </w:rPr>
                    <m:t>Q</m:t>
                  </m:r>
                </m:e>
                <m:sub>
                  <m:r>
                    <w:rPr>
                      <w:rFonts w:ascii="Cambria Math" w:hAnsi="Cambria Math"/>
                    </w:rPr>
                    <m:t>j</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j</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2</m:t>
                      </m:r>
                    </m:sup>
                  </m:sSup>
                  <m:sSup>
                    <m:sSupPr>
                      <m:ctrlPr>
                        <w:rPr>
                          <w:rFonts w:ascii="Cambria Math" w:hAnsi="Cambria Math"/>
                        </w:rPr>
                      </m:ctrlPr>
                    </m:sSupPr>
                    <m:e>
                      <m:r>
                        <w:rPr>
                          <w:rFonts w:ascii="Cambria Math" w:hAnsi="Cambria Math"/>
                        </w:rPr>
                        <m:t>U</m:t>
                      </m:r>
                    </m:e>
                    <m:sup>
                      <m:r>
                        <w:rPr>
                          <w:rFonts w:ascii="Cambria Math" w:hAnsi="Cambria Math"/>
                        </w:rPr>
                        <m:t>2</m:t>
                      </m:r>
                    </m:sup>
                  </m:sSup>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2</m:t>
                      </m:r>
                    </m:sup>
                  </m:sSup>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2</m:t>
                      </m:r>
                    </m:sup>
                  </m:sSubSup>
                </m:e>
              </m:d>
            </m:num>
            <m:den>
              <m:sSubSup>
                <m:sSubSupPr>
                  <m:ctrlPr>
                    <w:rPr>
                      <w:rFonts w:ascii="Cambria Math" w:hAnsi="Cambria Math"/>
                    </w:rPr>
                  </m:ctrlPr>
                </m:sSubSupPr>
                <m:e>
                  <m:r>
                    <w:rPr>
                      <w:rFonts w:ascii="Cambria Math" w:hAnsi="Cambria Math"/>
                    </w:rPr>
                    <m:t>Q</m:t>
                  </m:r>
                </m:e>
                <m:sub>
                  <m:r>
                    <w:rPr>
                      <w:rFonts w:ascii="Cambria Math" w:hAnsi="Cambria Math"/>
                    </w:rPr>
                    <m:t>j</m:t>
                  </m:r>
                </m:sub>
                <m:sup>
                  <m:r>
                    <w:rPr>
                      <w:rFonts w:ascii="Cambria Math" w:hAnsi="Cambria Math"/>
                    </w:rPr>
                    <m:t>2</m:t>
                  </m:r>
                </m:sup>
              </m:sSubSup>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p>
    <w:p>
      <w:pPr>
        <w:pStyle w:val="BodyText"/>
      </w:pPr>
      <w:r>
        <w:t>The first term in the variance numerator is the sampling noise that would remain with the correct outcome regression. The second is extra noise caused by the outcome model’s persistent error. Thus a wrong outcome model can reduce precision without introducing a mean shift in the score when the treatment probabilities are used correctly. There is no guarantee that pooling improves power: its value depends on the prediction it produces.</w:t>
      </w:r>
    </w:p>
    <w:p w14:paraId="20BF5692" w14:textId="77777777" w:rsidR="008F2514" w:rsidRDefault="00000000">
      <w:r>
        <w:rPr>
          <w:b/>
          <w:bCs/>
        </w:rPr>
        <w:t>Proof.</w:t>
      </w:r>
      <w:r>
        <w:t xml:space="preserve"> Write </w:t>
      </w:r>
      <m:oMath>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cr m:val="script"/>
                    <m:sty m:val="p"/>
                  </m:rPr>
                  <w:rPr>
                    <w:rFonts w:ascii="Cambria Math" w:hAnsi="Cambria Math"/>
                  </w:rPr>
                  <m:t>l</m:t>
                </m:r>
              </m:e>
            </m:acc>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j</m:t>
            </m:r>
          </m:sub>
          <m:sup>
            <m:r>
              <m:rPr>
                <m:sty m:val="p"/>
              </m:rPr>
              <w:rPr>
                <w:rFonts w:ascii="Cambria Math" w:hAnsi="Cambria Math"/>
              </w:rPr>
              <m:t>†</m:t>
            </m:r>
          </m:sup>
        </m:sSubSup>
      </m:oMath>
      <w:r>
        <w:t xml:space="preserve">. The fitted score equals </w:t>
      </w:r>
      <m:oMath>
        <m:r>
          <w:rPr>
            <w:rFonts w:ascii="Cambria Math" w:hAnsi="Cambria Math"/>
          </w:rPr>
          <m:t>V</m:t>
        </m:r>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k</m:t>
            </m:r>
          </m:sub>
        </m:sSub>
      </m:oMath>
      <w:r>
        <w:t xml:space="preserve">. Its conditional mean is zero for every honest fit because </w:t>
      </w:r>
      <m:oMath>
        <m:r>
          <w:rPr>
            <w:rFonts w:ascii="Cambria Math" w:hAnsi="Cambria Math"/>
          </w:rPr>
          <m:t>E</m:t>
        </m:r>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0</m:t>
        </m:r>
      </m:oMath>
      <w:r>
        <w:t xml:space="preserve"> and </w:t>
      </w:r>
      <m:oMath>
        <m:r>
          <w:rPr>
            <w:rFonts w:ascii="Cambria Math" w:hAnsi="Cambria Math"/>
          </w:rPr>
          <m:t>E</m:t>
        </m:r>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0</m:t>
        </m:r>
      </m:oMath>
      <w:r>
        <w:t xml:space="preserve">. The normalized </w:t>
      </w:r>
      <m:oMath>
        <m:r>
          <w:rPr>
            <w:rFonts w:ascii="Cambria Math" w:hAnsi="Cambria Math"/>
          </w:rPr>
          <m:t>V</m:t>
        </m:r>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k</m:t>
            </m:r>
          </m:sub>
        </m:sSub>
      </m:oMath>
      <w:r>
        <w:t xml:space="preserve"> sums vanish by conditional variance bounds and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r>
              <w:rPr>
                <w:rFonts w:ascii="Cambria Math" w:hAnsi="Cambria Math"/>
              </w:rPr>
              <m:t>2</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d>
          <m:dPr>
            <m:ctrlPr>
              <w:rPr>
                <w:rFonts w:ascii="Cambria Math" w:hAnsi="Cambria Math"/>
              </w:rPr>
            </m:ctrlPr>
          </m:dPr>
          <m:e>
            <m:r>
              <w:rPr>
                <w:rFonts w:ascii="Cambria Math" w:hAnsi="Cambria Math"/>
              </w:rPr>
              <m:t>1</m:t>
            </m:r>
          </m:e>
        </m:d>
      </m:oMath>
      <w:r>
        <w:t xml:space="preserve">; no rate faster than consistency is required. Independent clusterwise central limit theorems and </w:t>
      </w:r>
      <m:oMath>
        <m:acc>
          <m:accPr>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Q</m:t>
        </m:r>
      </m:oMath>
      <w:r>
        <w:t xml:space="preserve"> give the result. Conditioning on D and X removes the variance cross term. </w:t>
      </w:r>
      <m:oMath>
        <m:r>
          <m:rPr>
            <m:sty m:val="p"/>
          </m:rPr>
          <w:rPr>
            <w:rFonts w:ascii="Cambria Math" w:hAnsi="Cambria Math"/>
          </w:rPr>
          <m:t>▫</m:t>
        </m:r>
      </m:oMath>
    </w:p>
    <w:p w14:paraId="6768DAAE" w14:textId="77777777" w:rsidR="008F2514" w:rsidRDefault="00000000">
      <w:pPr>
        <w:pStyle w:val="BodyText"/>
      </w:pPr>
      <w:r>
        <w:rPr>
          <w:sz w:val="22"/>
        </w:rPr>
        <w:t>The result still requires that prediction fitting exclude the scoring observations and that the outcome predictions stabilize. It is not a license to use arbitrarily unstable or in-sample predictions. It also does not cover a trial that assigns each entire hospital to treatment or control merely because the hospital’s assignment probability is known: that is not the within-hospital sampling and treatment-variation setup used here. A zero expected score does not mean the ratio estimator is exactly unbiased, and the corollary gives no exact finite-sample coverage claim. The underlying robustness principle is established; our contribution is its placement in this few-cluster implementation.</w:t>
      </w:r>
    </w:p>
    <w:p w14:paraId="3C9A3587" w14:textId="77777777" w:rsidR="008F2514" w:rsidRDefault="00000000">
      <w:pPr>
        <w:pStyle w:val="Heading3"/>
      </w:pPr>
      <w:r>
        <w:rPr>
          <w:sz w:val="22"/>
        </w:rPr>
        <w:t>7.1 Why estimating treatment probabilities makes outcome-model errors more consequential</w:t>
      </w:r>
    </w:p>
    <w:p w14:paraId="0304609A" w14:textId="77777777" w:rsidR="008F2514" w:rsidRDefault="00000000">
      <w:pPr>
        <w:keepNext/>
        <w:keepLines/>
      </w:pPr>
      <w:r>
        <w:rPr>
          <w:sz w:val="22"/>
        </w:rPr>
        <w:t xml:space="preserve">When treatment probabilities must be estimated, a persistent outcome-model error can combine with treatment-prediction error to shift the score systematically. Holding the fitted models fixed, equation (6) gives the following expected score, which we call its </w:t>
      </w:r>
      <w:r>
        <w:rPr>
          <w:b/>
          <w:sz w:val="22"/>
        </w:rPr>
        <w:t>drift</w:t>
      </w:r>
      <w:r>
        <w:rPr>
          <w:sz w:val="22"/>
        </w:rPr>
        <w:t>:</w:t>
      </w:r>
    </w:p>
    <w:p w14:paraId="59FA9E47" w14:textId="77777777" w:rsidR="008F2514" w:rsidRDefault="00000000">
      <w:pPr>
        <w:pStyle w:val="BodyText"/>
        <w:keepLines/>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j</m:t>
              </m:r>
            </m:sub>
          </m:sSub>
          <m:d>
            <m:dPr>
              <m:begChr m:val="["/>
              <m:endChr m:val="]"/>
              <m:ctrlPr>
                <w:rPr>
                  <w:rFonts w:ascii="Cambria Math" w:hAnsi="Cambria Math"/>
                </w:rPr>
              </m:ctrlPr>
            </m:dPr>
            <m:e>
              <m:acc>
                <m:accPr>
                  <m:ctrlPr>
                    <w:rPr>
                      <w:rFonts w:ascii="Cambria Math" w:hAnsi="Cambria Math"/>
                    </w:rPr>
                  </m:ctrlPr>
                </m:accPr>
                <m:e>
                  <m:r>
                    <w:rPr>
                      <w:rFonts w:ascii="Cambria Math" w:hAnsi="Cambria Math"/>
                    </w:rPr>
                    <m:t>ψ</m:t>
                  </m:r>
                </m:e>
              </m:acc>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0</m:t>
                      </m:r>
                    </m:sub>
                  </m:sSub>
                </m:e>
              </m:d>
              <m:r>
                <m:rPr>
                  <m:sty m:val="p"/>
                </m:rPr>
                <w:rPr>
                  <w:rFonts w:ascii="Cambria Math" w:hAnsi="Cambria Math"/>
                </w:rPr>
                <m:t>∣</m:t>
              </m:r>
              <m:r>
                <m:rPr>
                  <m:nor/>
                </m:rPr>
                <m:t>training</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m</m:t>
                  </m:r>
                </m:sub>
              </m:sSub>
              <m:sSub>
                <m:sSubPr>
                  <m:ctrlPr>
                    <w:rPr>
                      <w:rFonts w:ascii="Cambria Math" w:hAnsi="Cambria Math"/>
                    </w:rPr>
                  </m:ctrlPr>
                </m:sSubPr>
                <m:e>
                  <m:r>
                    <w:rPr>
                      <w:rFonts w:ascii="Cambria Math" w:hAnsi="Cambria Math"/>
                    </w:rPr>
                    <m:t>δ</m:t>
                  </m:r>
                </m:e>
                <m:sub>
                  <m:r>
                    <m:rPr>
                      <m:scr m:val="script"/>
                      <m:sty m:val="p"/>
                    </m:rPr>
                    <w:rPr>
                      <w:rFonts w:ascii="Cambria Math" w:hAnsi="Cambria Math"/>
                    </w:rPr>
                    <m:t>l</m:t>
                  </m:r>
                </m:sub>
              </m:sSub>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sSub>
            <m:sSubPr>
              <m:ctrlPr>
                <w:rPr>
                  <w:rFonts w:ascii="Cambria Math" w:hAnsi="Cambria Math"/>
                </w:rPr>
              </m:ctrlPr>
            </m:sSubPr>
            <m:e>
              <m:r>
                <w:rPr>
                  <w:rFonts w:ascii="Cambria Math" w:hAnsi="Cambria Math"/>
                </w:rPr>
                <m:t>E</m:t>
              </m:r>
            </m:e>
            <m:sub>
              <m:r>
                <w:rPr>
                  <w:rFonts w:ascii="Cambria Math" w:hAnsi="Cambria Math"/>
                </w:rPr>
                <m:t>j</m:t>
              </m:r>
            </m:sub>
          </m:sSub>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m</m:t>
                  </m:r>
                </m:sub>
                <m:sup>
                  <m:r>
                    <w:rPr>
                      <w:rFonts w:ascii="Cambria Math" w:hAnsi="Cambria Math"/>
                    </w:rPr>
                    <m:t>2</m:t>
                  </m:r>
                </m:sup>
              </m:sSubSup>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m:t>
              </m:r>
            </m:e>
          </m:d>
        </m:oMath>
      </m:oMathPara>
    </w:p>
    <w:p w14:paraId="7E96FBAF" w14:textId="77777777" w:rsidR="008F2514" w:rsidRDefault="00000000">
      <w:pPr>
        <w:keepNext/>
        <w:keepLines/>
      </w:pPr>
      <w:r>
        <w:rPr>
          <w:sz w:val="22"/>
        </w:rPr>
        <w:t xml:space="preserve">If </w:t>
      </w:r>
      <m:oMath>
        <m:acc>
          <m:accPr>
            <m:ctrlPr>
              <w:rPr>
                <w:rFonts w:ascii="Cambria Math" w:hAnsi="Cambria Math"/>
              </w:rPr>
            </m:ctrlPr>
          </m:accPr>
          <m:e>
            <m:r>
              <m:rPr>
                <m:scr m:val="script"/>
                <m:sty m:val="p"/>
              </m:rPr>
              <w:rPr>
                <w:rFonts w:ascii="Cambria Math" w:hAnsi="Cambria Math"/>
              </w:rPr>
              <m:t>l</m:t>
            </m:r>
          </m:e>
        </m:acc>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oMath>
      <w:r>
        <w:rPr>
          <w:sz w:val="22"/>
        </w:rPr>
        <w:t xml:space="preserve">, the outcome predictor consists of its possibly wrong limit plus an estimation error that shrinks toward zero. Equation (10) then contains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m</m:t>
                </m:r>
              </m:sub>
            </m:sSub>
            <m:sSub>
              <m:sSubPr>
                <m:ctrlPr>
                  <w:rPr>
                    <w:rFonts w:ascii="Cambria Math" w:hAnsi="Cambria Math"/>
                  </w:rPr>
                </m:ctrlPr>
              </m:sSubPr>
              <m:e>
                <m:r>
                  <w:rPr>
                    <w:rFonts w:ascii="Cambria Math" w:hAnsi="Cambria Math"/>
                  </w:rPr>
                  <m:t>c</m:t>
                </m:r>
              </m:e>
              <m:sub>
                <m:r>
                  <w:rPr>
                    <w:rFonts w:ascii="Cambria Math" w:hAnsi="Cambria Math"/>
                  </w:rPr>
                  <m:t>j</m:t>
                </m:r>
              </m:sub>
            </m:sSub>
          </m:e>
        </m:d>
      </m:oMath>
      <w:r>
        <w:rPr>
          <w:sz w:val="22"/>
        </w:rPr>
        <w:t>: the treatment-prediction error multiplied by the persistent outcome discrepancy. A sufficient bound for this drift to be negligible is</w:t>
      </w:r>
    </w:p>
    <w:p w14:paraId="01425D04" w14:textId="77777777" w:rsidR="008F2514" w:rsidRDefault="00000000">
      <w:pPr>
        <w:pStyle w:val="BodyText"/>
        <w:keepLines/>
      </w:pPr>
      <m:oMathPara>
        <m:oMathParaPr>
          <m:jc m:val="center"/>
        </m:oMathParaP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j</m:t>
                  </m:r>
                </m:sub>
              </m:sSub>
            </m:e>
          </m:rad>
          <m:r>
            <w:rPr>
              <w:rFonts w:ascii="Cambria Math" w:hAnsi="Cambria Math"/>
            </w:rPr>
            <m:t> 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sSub>
            <m:sSubPr>
              <m:ctrlPr>
                <w:rPr>
                  <w:rFonts w:ascii="Cambria Math" w:hAnsi="Cambria Math"/>
                </w:rPr>
              </m:ctrlPr>
            </m:sSubPr>
            <m:e>
              <m:r>
                <m:rPr>
                  <m:sty m:val="p"/>
                </m:rPr>
                <w:rPr>
                  <w:rFonts w:ascii="Cambria Math" w:hAnsi="Cambria Math"/>
                </w:rPr>
                <m:t>∥</m:t>
              </m:r>
            </m:e>
            <m:sub>
              <m:r>
                <w:rPr>
                  <w:rFonts w:ascii="Cambria Math" w:hAnsi="Cambria Math"/>
                </w:rPr>
                <m:t>2</m:t>
              </m:r>
              <m:r>
                <m:rPr>
                  <m:sty m:val="p"/>
                </m:rPr>
                <w:rPr>
                  <w:rFonts w:ascii="Cambria Math" w:hAnsi="Cambria Math"/>
                </w:rPr>
                <m:t>,</m:t>
              </m:r>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0</m:t>
                  </m:r>
                </m:sub>
              </m:sSub>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p>
    <w:p w14:paraId="69F7206B" w14:textId="77777777" w:rsidR="008F2514" w:rsidRDefault="00000000">
      <w:r>
        <w:rPr>
          <w:sz w:val="22"/>
        </w:rPr>
        <w:t xml:space="preserve">If the persistent discrepancy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r>
              <m:rPr>
                <m:sty m:val="p"/>
              </m:rPr>
              <w:rPr>
                <w:rFonts w:ascii="Cambria Math" w:hAnsi="Cambria Math"/>
              </w:rPr>
              <m:t>,</m:t>
            </m:r>
            <m:r>
              <w:rPr>
                <w:rFonts w:ascii="Cambria Math" w:hAnsi="Cambria Math"/>
              </w:rPr>
              <m:t>j</m:t>
            </m:r>
          </m:sub>
        </m:sSub>
      </m:oMath>
      <w:r>
        <w:rPr>
          <w:sz w:val="22"/>
        </w:rPr>
        <w:t xml:space="preserve"> does not shrink, condition (11) requires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j</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e>
        </m:d>
      </m:oMath>
      <w:r>
        <w:rPr>
          <w:sz w:val="22"/>
        </w:rPr>
        <w:t xml:space="preserve">. That means treatment-prediction error must be negligible relative to the ordinary root-sample-size scale, not merely have the ordinary </w:t>
      </w:r>
      <m:oMath>
        <m:sSub>
          <m:sSubPr>
            <m:ctrlPr>
              <w:rPr>
                <w:rFonts w:ascii="Cambria Math" w:hAnsi="Cambria Math"/>
              </w:rPr>
            </m:ctrlPr>
          </m:sSubPr>
          <m:e>
            <m:r>
              <w:rPr>
                <w:rFonts w:ascii="Cambria Math" w:hAnsi="Cambria Math"/>
              </w:rPr>
              <m:t>O</m:t>
            </m:r>
          </m:e>
          <m:sub>
            <m:r>
              <w:rPr>
                <w:rFonts w:ascii="Cambria Math" w:hAnsi="Cambria Math"/>
              </w:rPr>
              <m:t>p</m:t>
            </m:r>
          </m:sub>
        </m:sSub>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j</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e>
        </m:d>
      </m:oMath>
      <w:r>
        <w:rPr>
          <w:sz w:val="22"/>
        </w:rPr>
        <w:t xml:space="preserve"> rate. This particular sufficient norm bound may be stronger than necessary if the relevant errors cancel, but such cancellation needs a separate argument. The distinction is between estimating the effect consistently and obtaining valid uncertainty statements about it (Dukes, Vansteelandt, and Whitney 2024). We therefore do not recommend “pool outcomes freely, never pool treatment.” Choose the two pooling weights separately, and use known treatment probabilities when the design actually satisfies Corollary 2.</w:t>
      </w:r>
    </w:p>
    <w:p w14:paraId="48A38B07" w14:textId="77777777" w:rsidR="008F2514" w:rsidRDefault="00000000">
      <w:pPr>
        <w:pStyle w:val="Heading2"/>
      </w:pPr>
      <w:r>
        <w:rPr>
          <w:sz w:val="22"/>
        </w:rPr>
        <w:t>8. What the results justify—and what remains unestablished</w:t>
      </w:r>
    </w:p>
    <w:p w14:paraId="45196EE6" w14:textId="77777777" w:rsidR="008F2514" w:rsidRDefault="00000000">
      <w:r>
        <w:rPr>
          <w:sz w:val="22"/>
        </w:rPr>
        <w:t>The procedure lets each cluster choose how much to borrow for each prediction task. It does not assume the clusters are similar. It does assume that calibration observations represent the target population, that extreme prediction errors satisfy the stated moment conditions, and that the final predictors meet the required learning conditions. When the borrowed model is poor, retaining a local model provides a useful comparison, but that comparison is only as good as the local learner and its reduced training sample. Better prediction does not automatically mean a narrower treatment-effect interval: if both local and adaptive fits make prediction-error terms negligible, they have the same leading large-sample score distribution.</w:t>
      </w:r>
    </w:p>
    <w:p w14:paraId="7BC041D8" w14:textId="77777777" w:rsidR="008F2514" w:rsidRDefault="00000000">
      <w:pPr>
        <w:pStyle w:val="BodyText"/>
      </w:pPr>
      <w:r>
        <w:rPr>
          <w:sz w:val="22"/>
        </w:rPr>
        <w:t xml:space="preserve">Two directions remain separate from the main guarantee. Shared features with a few local corrections may improve the borrowing model without changing the two-predictor argument. With known </w:t>
      </w:r>
      <m:oMath>
        <m:r>
          <w:rPr>
            <w:rFonts w:ascii="Cambria Math" w:hAnsi="Cambria Math"/>
          </w:rPr>
          <m:t>m</m:t>
        </m:r>
      </m:oMath>
      <w:r>
        <w:rPr>
          <w:sz w:val="22"/>
        </w:rPr>
        <w:t>, one might instead choose outcome-pooling weights to reduce variation in the treatment-effect score, rather than ordinary outcome-prediction error. Supplement Section 15 establishes the relevant population identity, but does not complete the argument for a fitting rule that changes with the hypothesized effect or for constructing its confidence set.</w:t>
      </w:r>
    </w:p>
    <w:p w14:paraId="19AB08F0" w14:textId="77777777" w:rsidR="008F2514" w:rsidRDefault="00000000">
      <w:pPr>
        <w:pStyle w:val="BodyText"/>
      </w:pPr>
      <w:r>
        <w:rPr>
          <w:sz w:val="22"/>
        </w:rPr>
        <w:t>The note does not establish validity under arbitrary serial correlation, arbitrary differences in treatment effects across clusters, or cases where the ideal score variance approaches zero. Nor does it establish that this is the most statistically efficient procedure. It states how accurate predictions must become, rather than proving that every machine-learning algorithm achieves those rates. Earlier simulations of a different, heuristic pooling rule do not validate this revised algorithm. Before submission, the remaining work is independent proof review, a fuller assessment of what is new relative to existing methods, and finite-sample comparisons of false-rejection rates, power, and confidence-interval lengths.</w:t>
      </w:r>
      <w:r>
        <w:t xml:space="preserve"> Appendix A supplies preliminary weighting stress tests; comparisons using the exact empirical learners and broader sampling designs remain to be completed.</w:t>
      </w:r>
    </w:p>
    <w:p w14:paraId="51829044" w14:textId="77777777" w:rsidR="008F2514" w:rsidRDefault="00000000">
      <w:pPr>
        <w:pStyle w:val="Heading2"/>
      </w:pPr>
      <w:bookmarkStart w:id="12" w:name="references"/>
      <w:bookmarkEnd w:id="11"/>
      <w:r>
        <w:rPr>
          <w:sz w:val="22"/>
        </w:rPr>
        <w:lastRenderedPageBreak/>
        <w:t>References</w:t>
      </w:r>
    </w:p>
    <w:p w14:paraId="18E55992" w14:textId="77777777" w:rsidR="008F2514" w:rsidRDefault="00000000">
      <w:pPr>
        <w:keepLines/>
        <w:spacing w:after="100"/>
      </w:pPr>
      <w:r>
        <w:rPr>
          <w:sz w:val="20"/>
        </w:rPr>
        <w:t xml:space="preserve">Ahrens, Achim, Christian B. Hansen, Mark E. Schaffer, and Thomas Wiemann. 2025. “Model Averaging and Double Machine Learning.” </w:t>
      </w:r>
      <w:r>
        <w:rPr>
          <w:i/>
          <w:iCs/>
          <w:sz w:val="20"/>
        </w:rPr>
        <w:t>Journal of Applied Econometrics</w:t>
      </w:r>
      <w:r>
        <w:rPr>
          <w:sz w:val="20"/>
        </w:rPr>
        <w:t xml:space="preserve"> 40 (3): 249–269. https://doi.org/10.1002/jae.3103</w:t>
      </w:r>
    </w:p>
    <w:p w14:paraId="31A9F9DA" w14:textId="77777777" w:rsidR="008F2514" w:rsidRDefault="00000000">
      <w:pPr>
        <w:pStyle w:val="BodyText"/>
        <w:keepLines/>
        <w:spacing w:after="100"/>
      </w:pPr>
      <w:r>
        <w:rPr>
          <w:sz w:val="20"/>
        </w:rPr>
        <w:t xml:space="preserve">Cai, Yong, Ivan A. Canay, Deborah Kim, and Azeem M. Shaikh. 2023. “On the Implementation of Approximate Randomization Tests in Linear Models with a Small Number of Clusters.” </w:t>
      </w:r>
      <w:r>
        <w:rPr>
          <w:i/>
          <w:iCs/>
          <w:sz w:val="20"/>
        </w:rPr>
        <w:t>Journal of Econometric Methods</w:t>
      </w:r>
      <w:r>
        <w:rPr>
          <w:sz w:val="20"/>
        </w:rPr>
        <w:t xml:space="preserve"> 12 (1): 85–103. https://doi.org/10.1515/jem-2021-0030</w:t>
      </w:r>
    </w:p>
    <w:p w14:paraId="60E2E26E" w14:textId="77777777" w:rsidR="008F2514" w:rsidRDefault="00000000">
      <w:pPr>
        <w:pStyle w:val="BodyText"/>
        <w:keepLines/>
        <w:spacing w:after="100"/>
      </w:pPr>
      <w:r>
        <w:rPr>
          <w:sz w:val="20"/>
        </w:rPr>
        <w:t xml:space="preserve">Canay, Ivan A., Joseph P. Romano, and Azeem M. Shaikh. 2017. “Randomization Tests Under an Approximate Symmetry Assumption.” </w:t>
      </w:r>
      <w:r>
        <w:rPr>
          <w:i/>
          <w:iCs/>
          <w:sz w:val="20"/>
        </w:rPr>
        <w:t>Econometrica</w:t>
      </w:r>
      <w:r>
        <w:rPr>
          <w:sz w:val="20"/>
        </w:rPr>
        <w:t xml:space="preserve"> 85 (3): 1013–1030. https://doi.org/10.3982/ECTA13081</w:t>
      </w:r>
    </w:p>
    <w:p w14:paraId="7B1585AD" w14:textId="77777777" w:rsidR="008F2514" w:rsidRDefault="00000000">
      <w:pPr>
        <w:pStyle w:val="BodyText"/>
        <w:keepLines/>
        <w:spacing w:after="100"/>
      </w:pPr>
      <w:r>
        <w:rPr>
          <w:sz w:val="20"/>
        </w:rPr>
        <w:t xml:space="preserve">Chernozhukov, Victor, Denis Chetverikov, Mert Demirer, Esther Duflo, Christian Hansen, Whitney Newey, and James Robins. 2018. “Double/Debiased Machine Learning for Treatment and Structural Parameters.” </w:t>
      </w:r>
      <w:r>
        <w:rPr>
          <w:i/>
          <w:iCs/>
          <w:sz w:val="20"/>
        </w:rPr>
        <w:t>The Econometrics Journal</w:t>
      </w:r>
      <w:r>
        <w:rPr>
          <w:sz w:val="20"/>
        </w:rPr>
        <w:t xml:space="preserve"> 21 (1): C1–C68. https://doi.org/10.1111/ectj.12097</w:t>
      </w:r>
    </w:p>
    <w:p w14:paraId="03B63763" w14:textId="77777777" w:rsidR="008F2514" w:rsidRDefault="00000000">
      <w:pPr>
        <w:pStyle w:val="BodyText"/>
        <w:keepLines/>
        <w:spacing w:after="100"/>
      </w:pPr>
      <w:r>
        <w:rPr>
          <w:sz w:val="20"/>
        </w:rPr>
        <w:t xml:space="preserve">Chiang, Harold D., Kengo Kato, Yukun Ma, and Yuya Sasaki. 2022. “Multiway Cluster Robust Double/Debiased Machine Learning.” </w:t>
      </w:r>
      <w:r>
        <w:rPr>
          <w:i/>
          <w:iCs/>
          <w:sz w:val="20"/>
        </w:rPr>
        <w:t>Journal of Business &amp; Economic Statistics</w:t>
      </w:r>
      <w:r>
        <w:rPr>
          <w:sz w:val="20"/>
        </w:rPr>
        <w:t xml:space="preserve"> 40 (3): 1046–1056. https://doi.org/10.1080/07350015.2021.1895815</w:t>
      </w:r>
    </w:p>
    <w:p w14:paraId="0077760F" w14:textId="77777777" w:rsidR="008F2514" w:rsidRDefault="00000000">
      <w:pPr>
        <w:pStyle w:val="BodyText"/>
        <w:keepLines/>
        <w:spacing w:after="100"/>
      </w:pPr>
      <w:r>
        <w:rPr>
          <w:sz w:val="20"/>
        </w:rPr>
        <w:t xml:space="preserve">Dukes, Oliver, Stijn Vansteelandt, and David Whitney. 2024. “On Doubly Robust Inference for Double Machine Learning in Semiparametric Regression.” </w:t>
      </w:r>
      <w:r>
        <w:rPr>
          <w:i/>
          <w:iCs/>
          <w:sz w:val="20"/>
        </w:rPr>
        <w:t>Journal of Machine Learning Research</w:t>
      </w:r>
      <w:r>
        <w:rPr>
          <w:sz w:val="20"/>
        </w:rPr>
        <w:t xml:space="preserve"> 25 (279): 1–46. https://jmlr.org/papers/v25/22-1233.html</w:t>
      </w:r>
    </w:p>
    <w:p w14:paraId="01F8CD8F" w14:textId="77777777" w:rsidR="008F2514" w:rsidRDefault="00000000">
      <w:pPr>
        <w:pStyle w:val="BodyText"/>
        <w:keepLines/>
        <w:spacing w:after="100"/>
      </w:pPr>
      <w:r>
        <w:rPr>
          <w:sz w:val="20"/>
        </w:rPr>
        <w:t xml:space="preserve">van der Vaart, Aad W., Sandrine Dudoit, and Mark J. van der Laan. 2006. “Oracle Inequalities for Multi-Fold Cross Validation.” </w:t>
      </w:r>
      <w:r>
        <w:rPr>
          <w:i/>
          <w:iCs/>
          <w:sz w:val="20"/>
        </w:rPr>
        <w:t>Statistics &amp; Decisions</w:t>
      </w:r>
      <w:r>
        <w:rPr>
          <w:sz w:val="20"/>
        </w:rPr>
        <w:t xml:space="preserve"> 24 (3): 351–371. https://doi.org/10.1524/stnd.2006.24.3.351</w:t>
      </w:r>
      <w:bookmarkEnd w:id="12"/>
    </w:p>
    <w:p>
      <w:r>
        <w:br w:type="page"/>
      </w:r>
    </w:p>
    <w:p>
      <w:bookmarkStart w:id="901" w:name="appendix_weights"/>
      <w:pPr>
        <w:pStyle w:val="Heading2"/>
      </w:pPr>
      <w:r>
        <w:t>Appendix A Cluster weighting simulations</w:t>
      </w:r>
      <w:bookmarkEnd w:id="901"/>
    </w:p>
    <w:p>
      <w:pPr/>
      <w:r>
        <w:rPr>
          <w:b/>
        </w:rPr>
        <w:t>PRELIMINARY - NOT FOR PUBLICATION</w:t>
      </w:r>
    </w:p>
    <w:p>
      <w:pPr>
        <w:pStyle w:val="Heading3"/>
      </w:pPr>
      <w:r>
        <w:t>A1 Design and weighting rules</w:t>
      </w:r>
    </w:p>
    <w:p>
      <w:pPr>
        <w:pStyle w:val="BodyText"/>
      </w:pPr>
      <w:r>
        <w:t>We use the 16 JTPA site sizes: 38, 74, 81, 87, 177, 179, 190, 234, 353, 401, 463, 485, 524, 636, 788, and 1,392 observations. Within sites, observations are independent and treatment is independently assigned with probability two thirds. The common treatment effect is 0.08 in simulation units, not JTPA dollars. Outcomes depend linearly on two independent standard-normal covariates, with site-specific intercepts and slopes, plus treatment and an independent error.</w:t>
      </w:r>
    </w:p>
    <w:p>
      <w:pPr>
        <w:pStyle w:val="BodyText"/>
      </w:pPr>
      <w:r>
        <w:t>Four designs use Gaussian errors with equal site variances; Gaussian errors with unequal site variances; standardized Student-t errors with three degrees of freedom and unequal site variances; and centered, population-standardized lognormal errors with log standard deviation 1.5 and unequal site variances. In the unequal-variance designs, the site error standard deviation is the fourth root of the ratio of median site size to site size. Thus small sites are also noisier per observation. The Student-t design has finite variance but no finite fourth moment. The lognormal design stresses skewness and tails; it is not an estimated earnings distribution.</w:t>
      </w:r>
    </w:p>
    <w:p>
      <w:pPr>
        <w:pStyle w:val="BodyText"/>
      </w:pPr>
      <w:r>
        <w:t>Each design has 1,000 replications with oracle nuisance functions and 500 with fitted nuisances. Fitted outcome models use five-fold adaptive local and pooled regressions with site indicators, Ridge penalty one, outcome-pooling shrinkage 20, and a 20-observation local-training floor. Propensity is either known or estimated using adaptively pooled local and pooled sample means. Shared training across sites is included. These simple learners isolate the weighting question; they do not validate the exact boosting learners used in the JTPA application.</w:t>
      </w:r>
    </w:p>
    <w:p>
      <w:pPr>
        <w:pStyle w:val="BodyText"/>
      </w:pPr>
      <w:r>
        <w:t>We compare equal score weights, size weights, and estimated precision weights. Precision weights use a within-site sample variance of estimated influence contributions. The variance is shrunk toward its pooled target with strength 100 and floored at one tenth of that target; strength 20 is a prespecified sensitivity. These variance-shrinkage settings differ from outcome-pooling shrinkage. All weights remain fixed over sign transformations and hypothesized effects. Coverage is acceptance of the true effect by the inverted 5% test; power is rejection of zero. We enumerate all sign pairs and retain every replication, with no fitting failures or exclusions.</w:t>
      </w:r>
    </w:p>
    <w:p>
      <w:pPr>
        <w:pStyle w:val="Heading3"/>
      </w:pPr>
      <w:r>
        <w:t>A2 Coverage and power</w:t>
      </w:r>
    </w:p>
    <w:p>
      <w:pPr>
        <w:pStyle w:val="BodyText"/>
      </w:pPr>
      <w:r>
        <w:t>Table A1 reports coverage and power percentages from the 500 fitted-nuisance replications. Each cell is coverage / power. At a rejection probability of 5%, the Monte Carlo standard error is about one percentage point. The target coverage is 95%.</w:t>
      </w:r>
    </w:p>
    <w:tbl>
      <w:tblPr>
        <w:tblW w:type="auto" w:w="0"/>
        <w:tblLayout w:type="fixed"/>
        <w:tblLook w:firstColumn="1" w:firstRow="1" w:lastColumn="0" w:lastRow="0" w:noHBand="0" w:noVBand="1" w:val="04A0"/>
      </w:tblPr>
      <w:tblGrid>
        <w:gridCol w:w="2232"/>
        <w:gridCol w:w="1440"/>
        <w:gridCol w:w="1584"/>
        <w:gridCol w:w="1584"/>
        <w:gridCol w:w="1728"/>
      </w:tblGrid>
      <w:tr>
        <w:trPr>
          <w:cantSplit/>
          <w:tblHeader/>
        </w:trPr>
        <w:tc>
          <w:tcPr>
            <w:tcW w:type="dxa" w:w="2232"/>
            <w:vAlign w:val="center"/>
            <w:tcBorders>
              <w:top w:val="single" w:sz="4" w:color="D9D9D9"/>
              <w:left w:val="single" w:sz="4" w:color="D9D9D9"/>
              <w:bottom w:val="single" w:sz="4" w:color="D9D9D9"/>
              <w:right w:val="single" w:sz="4" w:color="D9D9D9"/>
            </w:tcBorders>
            <w:shd w:fill="E7E6E6"/>
          </w:tcPr>
          <w:p>
            <w:pPr>
              <w:spacing w:after="80" w:before="80"/>
            </w:pPr>
            <w:r>
              <w:rPr>
                <w:b/>
                <w:sz w:val="20"/>
              </w:rPr>
              <w:t>Errors</w:t>
            </w:r>
          </w:p>
        </w:tc>
        <w:tc>
          <w:tcPr>
            <w:tcW w:type="dxa" w:w="1440"/>
            <w:vAlign w:val="center"/>
            <w:tcBorders>
              <w:top w:val="single" w:sz="4" w:color="D9D9D9"/>
              <w:left w:val="single" w:sz="4" w:color="D9D9D9"/>
              <w:bottom w:val="single" w:sz="4" w:color="D9D9D9"/>
              <w:right w:val="single" w:sz="4" w:color="D9D9D9"/>
            </w:tcBorders>
            <w:shd w:fill="E7E6E6"/>
          </w:tcPr>
          <w:p>
            <w:pPr>
              <w:spacing w:after="80" w:before="80"/>
            </w:pPr>
            <w:r>
              <w:rPr>
                <w:b/>
                <w:sz w:val="20"/>
              </w:rPr>
              <w:t>Propensity</w:t>
            </w:r>
          </w:p>
        </w:tc>
        <w:tc>
          <w:tcPr>
            <w:tcW w:type="dxa" w:w="1584"/>
            <w:vAlign w:val="center"/>
            <w:tcBorders>
              <w:top w:val="single" w:sz="4" w:color="D9D9D9"/>
              <w:left w:val="single" w:sz="4" w:color="D9D9D9"/>
              <w:bottom w:val="single" w:sz="4" w:color="D9D9D9"/>
              <w:right w:val="single" w:sz="4" w:color="D9D9D9"/>
            </w:tcBorders>
            <w:shd w:fill="E7E6E6"/>
          </w:tcPr>
          <w:p>
            <w:pPr>
              <w:spacing w:after="80" w:before="80"/>
            </w:pPr>
            <w:r>
              <w:rPr>
                <w:b/>
                <w:sz w:val="20"/>
              </w:rPr>
              <w:t>Current</w:t>
            </w:r>
          </w:p>
        </w:tc>
        <w:tc>
          <w:tcPr>
            <w:tcW w:type="dxa" w:w="1584"/>
            <w:vAlign w:val="center"/>
            <w:tcBorders>
              <w:top w:val="single" w:sz="4" w:color="D9D9D9"/>
              <w:left w:val="single" w:sz="4" w:color="D9D9D9"/>
              <w:bottom w:val="single" w:sz="4" w:color="D9D9D9"/>
              <w:right w:val="single" w:sz="4" w:color="D9D9D9"/>
            </w:tcBorders>
            <w:shd w:fill="E7E6E6"/>
          </w:tcPr>
          <w:p>
            <w:pPr>
              <w:spacing w:after="80" w:before="80"/>
            </w:pPr>
            <w:r>
              <w:rPr>
                <w:b/>
                <w:sz w:val="20"/>
              </w:rPr>
              <w:t>Size</w:t>
            </w:r>
          </w:p>
        </w:tc>
        <w:tc>
          <w:tcPr>
            <w:tcW w:type="dxa" w:w="1728"/>
            <w:vAlign w:val="center"/>
            <w:tcBorders>
              <w:top w:val="single" w:sz="4" w:color="D9D9D9"/>
              <w:left w:val="single" w:sz="4" w:color="D9D9D9"/>
              <w:bottom w:val="single" w:sz="4" w:color="D9D9D9"/>
              <w:right w:val="single" w:sz="4" w:color="D9D9D9"/>
            </w:tcBorders>
            <w:shd w:fill="E7E6E6"/>
          </w:tcPr>
          <w:p>
            <w:pPr>
              <w:spacing w:after="80" w:before="80"/>
            </w:pPr>
            <w:r>
              <w:rPr>
                <w:b/>
                <w:sz w:val="20"/>
              </w:rPr>
              <w:t>Precision</w:t>
            </w:r>
          </w:p>
        </w:tc>
      </w:tr>
      <w:tr>
        <w:trPr>
          <w:cantSplit/>
        </w:trPr>
        <w:tc>
          <w:tcPr>
            <w:tcW w:type="dxa" w:w="2232"/>
            <w:vAlign w:val="center"/>
            <w:tcBorders>
              <w:top w:val="single" w:sz="4" w:color="D9D9D9"/>
              <w:left w:val="single" w:sz="4" w:color="D9D9D9"/>
              <w:bottom w:val="single" w:sz="4" w:color="D9D9D9"/>
              <w:right w:val="single" w:sz="4" w:color="D9D9D9"/>
            </w:tcBorders>
          </w:tcPr>
          <w:p>
            <w:pPr>
              <w:spacing w:after="80" w:before="80"/>
            </w:pPr>
            <w:r>
              <w:rPr>
                <w:b w:val="0"/>
                <w:sz w:val="20"/>
              </w:rPr>
              <w:t>Gaussian equal variance</w:t>
            </w:r>
          </w:p>
        </w:tc>
        <w:tc>
          <w:tcPr>
            <w:tcW w:type="dxa" w:w="1440"/>
            <w:vAlign w:val="center"/>
            <w:tcBorders>
              <w:top w:val="single" w:sz="4" w:color="D9D9D9"/>
              <w:left w:val="single" w:sz="4" w:color="D9D9D9"/>
              <w:bottom w:val="single" w:sz="4" w:color="D9D9D9"/>
              <w:right w:val="single" w:sz="4" w:color="D9D9D9"/>
            </w:tcBorders>
          </w:tcPr>
          <w:p>
            <w:pPr>
              <w:spacing w:after="80" w:before="80"/>
            </w:pPr>
            <w:r>
              <w:rPr>
                <w:b w:val="0"/>
                <w:sz w:val="20"/>
              </w:rPr>
              <w:t>Known</w:t>
            </w:r>
          </w:p>
        </w:tc>
        <w:tc>
          <w:tcPr>
            <w:tcW w:type="dxa" w:w="1584"/>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93.8 / 64.8</w:t>
            </w:r>
          </w:p>
        </w:tc>
        <w:tc>
          <w:tcPr>
            <w:tcW w:type="dxa" w:w="1584"/>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94.2 / 71.4</w:t>
            </w:r>
          </w:p>
        </w:tc>
        <w:tc>
          <w:tcPr>
            <w:tcW w:type="dxa" w:w="1728"/>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94.0 / 72.0</w:t>
            </w:r>
          </w:p>
        </w:tc>
      </w:tr>
      <w:tr>
        <w:trPr>
          <w:cantSplit/>
        </w:trPr>
        <w:tc>
          <w:tcPr>
            <w:tcW w:type="dxa" w:w="2232"/>
            <w:vAlign w:val="center"/>
            <w:tcBorders>
              <w:top w:val="single" w:sz="4" w:color="D9D9D9"/>
              <w:left w:val="single" w:sz="4" w:color="D9D9D9"/>
              <w:bottom w:val="single" w:sz="4" w:color="D9D9D9"/>
              <w:right w:val="single" w:sz="4" w:color="D9D9D9"/>
            </w:tcBorders>
          </w:tcPr>
          <w:p>
            <w:pPr>
              <w:spacing w:after="80" w:before="80"/>
            </w:pPr>
            <w:r>
              <w:rPr>
                <w:b w:val="0"/>
                <w:sz w:val="20"/>
              </w:rPr>
              <w:t>Gaussian equal variance</w:t>
            </w:r>
          </w:p>
        </w:tc>
        <w:tc>
          <w:tcPr>
            <w:tcW w:type="dxa" w:w="1440"/>
            <w:vAlign w:val="center"/>
            <w:tcBorders>
              <w:top w:val="single" w:sz="4" w:color="D9D9D9"/>
              <w:left w:val="single" w:sz="4" w:color="D9D9D9"/>
              <w:bottom w:val="single" w:sz="4" w:color="D9D9D9"/>
              <w:right w:val="single" w:sz="4" w:color="D9D9D9"/>
            </w:tcBorders>
          </w:tcPr>
          <w:p>
            <w:pPr>
              <w:spacing w:after="80" w:before="80"/>
            </w:pPr>
            <w:r>
              <w:rPr>
                <w:b w:val="0"/>
                <w:sz w:val="20"/>
              </w:rPr>
              <w:t>Estimated</w:t>
            </w:r>
          </w:p>
        </w:tc>
        <w:tc>
          <w:tcPr>
            <w:tcW w:type="dxa" w:w="1584"/>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93.6 / 64.0</w:t>
            </w:r>
          </w:p>
        </w:tc>
        <w:tc>
          <w:tcPr>
            <w:tcW w:type="dxa" w:w="1584"/>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94.4 / 70.6</w:t>
            </w:r>
          </w:p>
        </w:tc>
        <w:tc>
          <w:tcPr>
            <w:tcW w:type="dxa" w:w="1728"/>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94.0 / 71.0</w:t>
            </w:r>
          </w:p>
        </w:tc>
      </w:tr>
      <w:tr>
        <w:trPr>
          <w:cantSplit/>
        </w:trPr>
        <w:tc>
          <w:tcPr>
            <w:tcW w:type="dxa" w:w="2232"/>
            <w:vAlign w:val="center"/>
            <w:tcBorders>
              <w:top w:val="single" w:sz="4" w:color="D9D9D9"/>
              <w:left w:val="single" w:sz="4" w:color="D9D9D9"/>
              <w:bottom w:val="single" w:sz="4" w:color="D9D9D9"/>
              <w:right w:val="single" w:sz="4" w:color="D9D9D9"/>
            </w:tcBorders>
          </w:tcPr>
          <w:p>
            <w:pPr>
              <w:spacing w:after="80" w:before="80"/>
            </w:pPr>
            <w:r>
              <w:rPr>
                <w:b w:val="0"/>
                <w:sz w:val="20"/>
              </w:rPr>
              <w:t>Gaussian unequal variance</w:t>
            </w:r>
          </w:p>
        </w:tc>
        <w:tc>
          <w:tcPr>
            <w:tcW w:type="dxa" w:w="1440"/>
            <w:vAlign w:val="center"/>
            <w:tcBorders>
              <w:top w:val="single" w:sz="4" w:color="D9D9D9"/>
              <w:left w:val="single" w:sz="4" w:color="D9D9D9"/>
              <w:bottom w:val="single" w:sz="4" w:color="D9D9D9"/>
              <w:right w:val="single" w:sz="4" w:color="D9D9D9"/>
            </w:tcBorders>
          </w:tcPr>
          <w:p>
            <w:pPr>
              <w:spacing w:after="80" w:before="80"/>
            </w:pPr>
            <w:r>
              <w:rPr>
                <w:b w:val="0"/>
                <w:sz w:val="20"/>
              </w:rPr>
              <w:t>Known</w:t>
            </w:r>
          </w:p>
        </w:tc>
        <w:tc>
          <w:tcPr>
            <w:tcW w:type="dxa" w:w="1584"/>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93.8 / 57.0</w:t>
            </w:r>
          </w:p>
        </w:tc>
        <w:tc>
          <w:tcPr>
            <w:tcW w:type="dxa" w:w="1584"/>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93.6 / 75.0</w:t>
            </w:r>
          </w:p>
        </w:tc>
        <w:tc>
          <w:tcPr>
            <w:tcW w:type="dxa" w:w="1728"/>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94.2 / 78.6</w:t>
            </w:r>
          </w:p>
        </w:tc>
      </w:tr>
      <w:tr>
        <w:trPr>
          <w:cantSplit/>
        </w:trPr>
        <w:tc>
          <w:tcPr>
            <w:tcW w:type="dxa" w:w="2232"/>
            <w:vAlign w:val="center"/>
            <w:tcBorders>
              <w:top w:val="single" w:sz="4" w:color="D9D9D9"/>
              <w:left w:val="single" w:sz="4" w:color="D9D9D9"/>
              <w:bottom w:val="single" w:sz="4" w:color="D9D9D9"/>
              <w:right w:val="single" w:sz="4" w:color="D9D9D9"/>
            </w:tcBorders>
          </w:tcPr>
          <w:p>
            <w:pPr>
              <w:spacing w:after="80" w:before="80"/>
            </w:pPr>
            <w:r>
              <w:rPr>
                <w:b w:val="0"/>
                <w:sz w:val="20"/>
              </w:rPr>
              <w:t>Gaussian unequal variance</w:t>
            </w:r>
          </w:p>
        </w:tc>
        <w:tc>
          <w:tcPr>
            <w:tcW w:type="dxa" w:w="1440"/>
            <w:vAlign w:val="center"/>
            <w:tcBorders>
              <w:top w:val="single" w:sz="4" w:color="D9D9D9"/>
              <w:left w:val="single" w:sz="4" w:color="D9D9D9"/>
              <w:bottom w:val="single" w:sz="4" w:color="D9D9D9"/>
              <w:right w:val="single" w:sz="4" w:color="D9D9D9"/>
            </w:tcBorders>
          </w:tcPr>
          <w:p>
            <w:pPr>
              <w:spacing w:after="80" w:before="80"/>
            </w:pPr>
            <w:r>
              <w:rPr>
                <w:b w:val="0"/>
                <w:sz w:val="20"/>
              </w:rPr>
              <w:t>Estimated</w:t>
            </w:r>
          </w:p>
        </w:tc>
        <w:tc>
          <w:tcPr>
            <w:tcW w:type="dxa" w:w="1584"/>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93.4 / 56.8</w:t>
            </w:r>
          </w:p>
        </w:tc>
        <w:tc>
          <w:tcPr>
            <w:tcW w:type="dxa" w:w="1584"/>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93.6 / 75.4</w:t>
            </w:r>
          </w:p>
        </w:tc>
        <w:tc>
          <w:tcPr>
            <w:tcW w:type="dxa" w:w="1728"/>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94.2 / 77.8</w:t>
            </w:r>
          </w:p>
        </w:tc>
      </w:tr>
      <w:tr>
        <w:trPr>
          <w:cantSplit/>
        </w:trPr>
        <w:tc>
          <w:tcPr>
            <w:tcW w:type="dxa" w:w="2232"/>
            <w:vAlign w:val="center"/>
            <w:tcBorders>
              <w:top w:val="single" w:sz="4" w:color="D9D9D9"/>
              <w:left w:val="single" w:sz="4" w:color="D9D9D9"/>
              <w:bottom w:val="single" w:sz="4" w:color="D9D9D9"/>
              <w:right w:val="single" w:sz="4" w:color="D9D9D9"/>
            </w:tcBorders>
          </w:tcPr>
          <w:p>
            <w:pPr>
              <w:spacing w:after="80" w:before="80"/>
            </w:pPr>
            <w:r>
              <w:rPr>
                <w:b w:val="0"/>
                <w:sz w:val="20"/>
              </w:rPr>
              <w:t>Student t unequal variance</w:t>
            </w:r>
          </w:p>
        </w:tc>
        <w:tc>
          <w:tcPr>
            <w:tcW w:type="dxa" w:w="1440"/>
            <w:vAlign w:val="center"/>
            <w:tcBorders>
              <w:top w:val="single" w:sz="4" w:color="D9D9D9"/>
              <w:left w:val="single" w:sz="4" w:color="D9D9D9"/>
              <w:bottom w:val="single" w:sz="4" w:color="D9D9D9"/>
              <w:right w:val="single" w:sz="4" w:color="D9D9D9"/>
            </w:tcBorders>
          </w:tcPr>
          <w:p>
            <w:pPr>
              <w:spacing w:after="80" w:before="80"/>
            </w:pPr>
            <w:r>
              <w:rPr>
                <w:b w:val="0"/>
                <w:sz w:val="20"/>
              </w:rPr>
              <w:t>Known</w:t>
            </w:r>
          </w:p>
        </w:tc>
        <w:tc>
          <w:tcPr>
            <w:tcW w:type="dxa" w:w="1584"/>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95.0 / 58.4</w:t>
            </w:r>
          </w:p>
        </w:tc>
        <w:tc>
          <w:tcPr>
            <w:tcW w:type="dxa" w:w="1584"/>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96.0 / 77.8</w:t>
            </w:r>
          </w:p>
        </w:tc>
        <w:tc>
          <w:tcPr>
            <w:tcW w:type="dxa" w:w="1728"/>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95.0 / 84.4</w:t>
            </w:r>
          </w:p>
        </w:tc>
      </w:tr>
      <w:tr>
        <w:trPr>
          <w:cantSplit/>
        </w:trPr>
        <w:tc>
          <w:tcPr>
            <w:tcW w:type="dxa" w:w="2232"/>
            <w:vAlign w:val="center"/>
            <w:tcBorders>
              <w:top w:val="single" w:sz="4" w:color="D9D9D9"/>
              <w:left w:val="single" w:sz="4" w:color="D9D9D9"/>
              <w:bottom w:val="single" w:sz="4" w:color="D9D9D9"/>
              <w:right w:val="single" w:sz="4" w:color="D9D9D9"/>
            </w:tcBorders>
          </w:tcPr>
          <w:p>
            <w:pPr>
              <w:spacing w:after="80" w:before="80"/>
            </w:pPr>
            <w:r>
              <w:rPr>
                <w:b w:val="0"/>
                <w:sz w:val="20"/>
              </w:rPr>
              <w:t>Student t unequal variance</w:t>
            </w:r>
          </w:p>
        </w:tc>
        <w:tc>
          <w:tcPr>
            <w:tcW w:type="dxa" w:w="1440"/>
            <w:vAlign w:val="center"/>
            <w:tcBorders>
              <w:top w:val="single" w:sz="4" w:color="D9D9D9"/>
              <w:left w:val="single" w:sz="4" w:color="D9D9D9"/>
              <w:bottom w:val="single" w:sz="4" w:color="D9D9D9"/>
              <w:right w:val="single" w:sz="4" w:color="D9D9D9"/>
            </w:tcBorders>
          </w:tcPr>
          <w:p>
            <w:pPr>
              <w:spacing w:after="80" w:before="80"/>
            </w:pPr>
            <w:r>
              <w:rPr>
                <w:b w:val="0"/>
                <w:sz w:val="20"/>
              </w:rPr>
              <w:t>Estimated</w:t>
            </w:r>
          </w:p>
        </w:tc>
        <w:tc>
          <w:tcPr>
            <w:tcW w:type="dxa" w:w="1584"/>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95.6 / 58.8</w:t>
            </w:r>
          </w:p>
        </w:tc>
        <w:tc>
          <w:tcPr>
            <w:tcW w:type="dxa" w:w="1584"/>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95.8 / 77.8</w:t>
            </w:r>
          </w:p>
        </w:tc>
        <w:tc>
          <w:tcPr>
            <w:tcW w:type="dxa" w:w="1728"/>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94.8 / 83.6</w:t>
            </w:r>
          </w:p>
        </w:tc>
      </w:tr>
      <w:tr>
        <w:trPr>
          <w:cantSplit/>
        </w:trPr>
        <w:tc>
          <w:tcPr>
            <w:tcW w:type="dxa" w:w="2232"/>
            <w:vAlign w:val="center"/>
            <w:tcBorders>
              <w:top w:val="single" w:sz="4" w:color="D9D9D9"/>
              <w:left w:val="single" w:sz="4" w:color="D9D9D9"/>
              <w:bottom w:val="single" w:sz="4" w:color="D9D9D9"/>
              <w:right w:val="single" w:sz="4" w:color="D9D9D9"/>
            </w:tcBorders>
          </w:tcPr>
          <w:p>
            <w:pPr>
              <w:spacing w:after="80" w:before="80"/>
            </w:pPr>
            <w:r>
              <w:rPr>
                <w:b w:val="0"/>
                <w:sz w:val="20"/>
              </w:rPr>
              <w:t>Lognormal unequal variance</w:t>
            </w:r>
          </w:p>
        </w:tc>
        <w:tc>
          <w:tcPr>
            <w:tcW w:type="dxa" w:w="1440"/>
            <w:vAlign w:val="center"/>
            <w:tcBorders>
              <w:top w:val="single" w:sz="4" w:color="D9D9D9"/>
              <w:left w:val="single" w:sz="4" w:color="D9D9D9"/>
              <w:bottom w:val="single" w:sz="4" w:color="D9D9D9"/>
              <w:right w:val="single" w:sz="4" w:color="D9D9D9"/>
            </w:tcBorders>
          </w:tcPr>
          <w:p>
            <w:pPr>
              <w:spacing w:after="80" w:before="80"/>
            </w:pPr>
            <w:r>
              <w:rPr>
                <w:b w:val="0"/>
                <w:sz w:val="20"/>
              </w:rPr>
              <w:t>Known</w:t>
            </w:r>
          </w:p>
        </w:tc>
        <w:tc>
          <w:tcPr>
            <w:tcW w:type="dxa" w:w="1584"/>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94.6 / 69.0</w:t>
            </w:r>
          </w:p>
        </w:tc>
        <w:tc>
          <w:tcPr>
            <w:tcW w:type="dxa" w:w="1584"/>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95.2 / 79.4</w:t>
            </w:r>
          </w:p>
        </w:tc>
        <w:tc>
          <w:tcPr>
            <w:tcW w:type="dxa" w:w="1728"/>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90.6 / 96.0</w:t>
            </w:r>
          </w:p>
        </w:tc>
      </w:tr>
      <w:tr>
        <w:trPr>
          <w:cantSplit/>
        </w:trPr>
        <w:tc>
          <w:tcPr>
            <w:tcW w:type="dxa" w:w="2232"/>
            <w:vAlign w:val="center"/>
            <w:tcBorders>
              <w:top w:val="single" w:sz="4" w:color="D9D9D9"/>
              <w:left w:val="single" w:sz="4" w:color="D9D9D9"/>
              <w:bottom w:val="single" w:sz="4" w:color="D9D9D9"/>
              <w:right w:val="single" w:sz="4" w:color="D9D9D9"/>
            </w:tcBorders>
          </w:tcPr>
          <w:p>
            <w:pPr>
              <w:spacing w:after="80" w:before="80"/>
            </w:pPr>
            <w:r>
              <w:rPr>
                <w:b w:val="0"/>
                <w:sz w:val="20"/>
              </w:rPr>
              <w:t>Lognormal unequal variance</w:t>
            </w:r>
          </w:p>
        </w:tc>
        <w:tc>
          <w:tcPr>
            <w:tcW w:type="dxa" w:w="1440"/>
            <w:vAlign w:val="center"/>
            <w:tcBorders>
              <w:top w:val="single" w:sz="4" w:color="D9D9D9"/>
              <w:left w:val="single" w:sz="4" w:color="D9D9D9"/>
              <w:bottom w:val="single" w:sz="4" w:color="D9D9D9"/>
              <w:right w:val="single" w:sz="4" w:color="D9D9D9"/>
            </w:tcBorders>
          </w:tcPr>
          <w:p>
            <w:pPr>
              <w:spacing w:after="80" w:before="80"/>
            </w:pPr>
            <w:r>
              <w:rPr>
                <w:b w:val="0"/>
                <w:sz w:val="20"/>
              </w:rPr>
              <w:t>Estimated</w:t>
            </w:r>
          </w:p>
        </w:tc>
        <w:tc>
          <w:tcPr>
            <w:tcW w:type="dxa" w:w="1584"/>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94.6 / 70.0</w:t>
            </w:r>
          </w:p>
        </w:tc>
        <w:tc>
          <w:tcPr>
            <w:tcW w:type="dxa" w:w="1584"/>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95.2 / 79.4</w:t>
            </w:r>
          </w:p>
        </w:tc>
        <w:tc>
          <w:tcPr>
            <w:tcW w:type="dxa" w:w="1728"/>
            <w:vAlign w:val="center"/>
            <w:tcBorders>
              <w:top w:val="single" w:sz="4" w:color="D9D9D9"/>
              <w:left w:val="single" w:sz="4" w:color="D9D9D9"/>
              <w:bottom w:val="single" w:sz="4" w:color="D9D9D9"/>
              <w:right w:val="single" w:sz="4" w:color="D9D9D9"/>
            </w:tcBorders>
          </w:tcPr>
          <w:p>
            <w:pPr>
              <w:spacing w:after="80" w:before="80"/>
              <w:jc w:val="center"/>
            </w:pPr>
            <w:r>
              <w:rPr>
                <w:b w:val="0"/>
                <w:sz w:val="20"/>
              </w:rPr>
              <w:t>90.6 / 95.8</w:t>
            </w:r>
          </w:p>
        </w:tc>
      </w:tr>
    </w:tbl>
    <w:p>
      <w:pPr>
        <w:pStyle w:val="BodyText"/>
      </w:pPr>
      <w:r>
        <w:t>Under lognormal errors, primary precision weights yield 90.6% coverage with either fitted propensity specification; the marginal 95% Monte Carlo interval is 87.7–92.9%. Size weights yield 95.2% coverage, with interval 93.0–96.8%. The weaker variance-shrinkage sensitivity gives 90.0% and 90.6% coverage. High alternative rejection rates from a test that overrejects the true null are not a fair efficiency gain. Across the four designs, size weighting raises power relative to current weights, while its observed coverage ranges from 93.6% to 96.0%. These marginal Monte Carlo intervals are not adjusted for multiple comparisons.</w:t>
      </w:r>
    </w:p>
    <w:p>
      <w:pPr>
        <w:pStyle w:val="Heading3"/>
      </w:pPr>
      <w:r>
        <w:t>A3 Diagnostic and implications</w:t>
      </w:r>
    </w:p>
    <w:p>
      <w:pPr>
        <w:pStyle w:val="BodyText"/>
      </w:pPr>
      <w:r>
        <w:t>The skewed-error failure remains with oracle nuisances: same-sample precision weights give 91.3% coverage and a mean estimate of 0.08913 when the true effect is 0.08. In a post hoc diagnostic using the same 1,000 evaluation samples, we estimate precision weights from an additional independent sample with the same 6,102 observations and site-size distribution. Coverage rises to 94.5% and the mean estimate becomes 0.07996. Fixed weights based on the DGP variances give 94.7% coverage. This isolates same-sample variance weighting as a contributor to the failure in this design, rather than nuisance fitting alone.</w:t>
      </w:r>
    </w:p>
    <w:p>
      <w:pPr>
        <w:pStyle w:val="BodyText"/>
      </w:pPr>
      <w:r>
        <w:t>Dependence between skewed estimation errors and their estimated variances can bias weighting and spoil joint sign symmetry. Holding estimated weights fixed during enumeration does not remove that dependence. The diagnostic uses extra data and is not an equal-data-budget comparison or a validated holdout remedy; its power is lower than simple size weighting here. The simulations assume a common effect and independent within-site observations. They do not establish robustness to heterogeneous effects, common shocks, or arbitrary within-site dependence, and downweighting does not by itself justify small-site Gaussian approximations.</w:t>
      </w:r>
    </w:p>
    <w:p>
      <w:pPr>
        <w:pStyle w:val="BodyText"/>
      </w:pPr>
      <w:r>
        <w:t xml:space="preserve">Reproducibility. The evaluation seed is 20261009; the independent-weight diagnostic seed is 20261010. The full report includes all weighting sensitivities, oracle controls, paired comparisons, Monte Carlo intervals, source hashes, and replication results. See </w:t>
      </w:r>
      <w:hyperlink r:id="rId11">
        <w:r>
          <w:t>the archived coverage and power report</w:t>
        </w:r>
      </w:hyperlink>
      <w:r>
        <w:t>. The recommendation concerns this preliminary analysis; publication requires further validation.</w:t>
      </w:r>
    </w:p>
    <w:sectPr w:rsidR="008F2514" w:rsidSect="00034616">
      <w:footerReference w:type="default" r:id="rId7"/>
      <w:pgSz w:w="12240" w:h="15840"/>
      <w:pgMar w:top="1008" w:right="1152" w:bottom="1008" w:left="1152" w:header="432" w:footer="43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w:initials="CX" w:date="2026-10-08T18:26:06Z">
    <w:p>
      <w:pPr>
        <w:pStyle w:val="CommentText"/>
      </w:pPr>
      <w:r>
        <w:rPr>
          <w:rStyle w:val="CommentReference"/>
        </w:rPr>
        <w:annotationRef/>
      </w:r>
      <w:r>
        <w:t>Added the requested qualified weighting recommendation and a cross-reference to the new preliminary simulation appendix. This distinction concerns weights across effect estimates, not the local/borrowed prediction weights.</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4450D" w14:textId="77777777" w:rsidR="00695855" w:rsidRDefault="00695855">
      <w:pPr>
        <w:spacing w:after="0"/>
      </w:pPr>
      <w:r>
        <w:separator/>
      </w:r>
    </w:p>
  </w:endnote>
  <w:endnote w:type="continuationSeparator" w:id="0">
    <w:p w14:paraId="2B7F9E60" w14:textId="77777777" w:rsidR="00695855" w:rsidRDefault="006958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8D1B6" w14:textId="77777777" w:rsidR="008F2514" w:rsidRDefault="00000000">
    <w:pPr>
      <w:pStyle w:val="Footer"/>
      <w:jc w:val="right"/>
    </w:pPr>
    <w:r>
      <w:rPr>
        <w:sz w:val="18"/>
      </w:rPr>
      <w:t xml:space="preserve">Explanatory revision · 7 October 2026   |   </w:t>
    </w:r>
    <w:r>
      <w:fldChar w:fldCharType="begin"/>
    </w:r>
    <w:r>
      <w:instrText>PAGE</w:instrText>
    </w:r>
    <w:r>
      <w:fldChar w:fldCharType="separate"/>
    </w:r>
    <w:r w:rsidR="003A10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00EB0" w14:textId="77777777" w:rsidR="00695855" w:rsidRDefault="00695855">
      <w:r>
        <w:separator/>
      </w:r>
    </w:p>
  </w:footnote>
  <w:footnote w:type="continuationSeparator" w:id="0">
    <w:p w14:paraId="45A96DE5" w14:textId="77777777" w:rsidR="00695855" w:rsidRDefault="006958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FAE582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9F403DC"/>
    <w:multiLevelType w:val="hybridMultilevel"/>
    <w:tmpl w:val="E9CA8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8517334">
    <w:abstractNumId w:val="8"/>
  </w:num>
  <w:num w:numId="2" w16cid:durableId="1919828939">
    <w:abstractNumId w:val="6"/>
  </w:num>
  <w:num w:numId="3" w16cid:durableId="1743789475">
    <w:abstractNumId w:val="5"/>
  </w:num>
  <w:num w:numId="4" w16cid:durableId="394395999">
    <w:abstractNumId w:val="4"/>
  </w:num>
  <w:num w:numId="5" w16cid:durableId="725491209">
    <w:abstractNumId w:val="7"/>
  </w:num>
  <w:num w:numId="6" w16cid:durableId="1360667519">
    <w:abstractNumId w:val="3"/>
  </w:num>
  <w:num w:numId="7" w16cid:durableId="2055034800">
    <w:abstractNumId w:val="2"/>
  </w:num>
  <w:num w:numId="8" w16cid:durableId="1918127224">
    <w:abstractNumId w:val="1"/>
  </w:num>
  <w:num w:numId="9" w16cid:durableId="1151403413">
    <w:abstractNumId w:val="0"/>
  </w:num>
  <w:num w:numId="10" w16cid:durableId="579751847">
    <w:abstractNumId w:val="9"/>
  </w:num>
  <w:num w:numId="11" w16cid:durableId="10113704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1A2C"/>
    <w:rsid w:val="0029639D"/>
    <w:rsid w:val="00326F90"/>
    <w:rsid w:val="003A10FF"/>
    <w:rsid w:val="00695855"/>
    <w:rsid w:val="007B6F29"/>
    <w:rsid w:val="008F25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F3D88"/>
  <w15:docId w15:val="{E1FD2F8B-DBD6-4F93-98E5-B0C05571F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120" w:line="240" w:lineRule="auto" w:before="0"/>
    </w:pPr>
    <w:rPr>
      <w:rFonts w:ascii="Cambria" w:hAnsi="Cambria"/>
      <w:sz w:val="22"/>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0"/>
      <w:contextualSpacing/>
    </w:pPr>
    <w:rPr>
      <w:rFonts w:asciiTheme="majorHAnsi" w:eastAsiaTheme="majorEastAsia" w:hAnsiTheme="majorHAnsi" w:cstheme="majorBidi" w:ascii="Cambria" w:hAnsi="Cambria"/>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Theme="majorHAnsi" w:eastAsiaTheme="majorEastAsia" w:hAnsiTheme="majorHAnsi" w:cstheme="majorBidi" w:ascii="Cambria" w:hAnsi="Cambria"/>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line="240" w:lineRule="auto" w:after="120" w:before="0"/>
    </w:pPr>
    <w:rPr>
      <w:rFonts w:ascii="Cambria" w:hAnsi="Cambri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comments" Target="comments.xml"/><Relationship Id="rId11" Type="http://schemas.openxmlformats.org/officeDocument/2006/relationships/hyperlink" Target="https://github.com/levine63/Ideas/blob/8a7da00/fewclusters/results/weighting_simulation/COVERAGE_POWER.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2964</Words>
  <Characters>16901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Approximate Randomization Inference with Cross-Fitted Orthogonal Scores and Few Large Clusters</dc:title>
  <dc:creator>David Levine</dc:creator>
  <cp:keywords/>
  <dc:description>Integrated revision; original drafts preserved separately.</dc:description>
  <cp:lastModifiedBy>David Levine</cp:lastModifiedBy>
  <cp:revision>2</cp:revision>
  <dcterms:created xsi:type="dcterms:W3CDTF">2026-10-07T23:18:00Z</dcterms:created>
  <dcterms:modified xsi:type="dcterms:W3CDTF">2026-10-07T23:18:00Z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7, 2026 · Integrated revision 2</vt:lpwstr>
  </property>
  <property fmtid="{D5CDD505-2E9C-101B-9397-08002B2CF9AE}" pid="3" name="subtitle">
    <vt:lpwstr>A note extending Cai, Canay, Kim, and Shaikh (2023)</vt:lpwstr>
  </property>
</Properties>
</file>