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efe9faa0619ea2d72c9f631595dd99b63606f8c"/>
    <w:p>
      <w:pPr>
        <w:pStyle w:val="Heading1"/>
      </w:pPr>
      <w:r>
        <w:t xml:space="preserve">The Sentinel Firewall: A Health-System Strategy to Decouple Informal Industrialization from Lead Exposure in LMICs</w:t>
      </w:r>
    </w:p>
    <w:p>
      <w:pPr>
        <w:pStyle w:val="FirstParagraph"/>
      </w:pPr>
      <w:r>
        <w:t xml:space="preserve">David I Levine</w:t>
      </w:r>
    </w:p>
    <w:p>
      <w:pPr>
        <w:pStyle w:val="BodyText"/>
      </w:pPr>
      <w:r>
        <w:t xml:space="preserve">ORCID: 0000-0002-7210-5499</w:t>
      </w:r>
    </w:p>
    <w:p>
      <w:pPr>
        <w:pStyle w:val="BodyText"/>
      </w:pPr>
      <w:r>
        <w:t xml:space="preserve">Haas School of Business, University of California, Berkeley, Berkeley,</w:t>
      </w:r>
      <w:r>
        <w:t xml:space="preserve"> </w:t>
      </w:r>
      <w:r>
        <w:t xml:space="preserve">California, USA</w:t>
      </w:r>
    </w:p>
    <w:p>
      <w:pPr>
        <w:pStyle w:val="BodyText"/>
      </w:pPr>
      <w:r>
        <w:t xml:space="preserve">Correspondence to: Professor David I Levine; levine@berkeley.edu</w:t>
      </w:r>
    </w:p>
    <w:bookmarkStart w:id="9" w:name="abstract"/>
    <w:p>
      <w:pPr>
        <w:pStyle w:val="Heading2"/>
      </w:pPr>
      <w:r>
        <w:t xml:space="preserve">Abstract</w:t>
      </w:r>
    </w:p>
    <w:p>
      <w:pPr>
        <w:pStyle w:val="FirstParagraph"/>
      </w:pPr>
      <w:r>
        <w:t xml:space="preserve">Lead exposure remains an important and under-addressed driver of</w:t>
      </w:r>
      <w:r>
        <w:t xml:space="preserve"> </w:t>
      </w:r>
      <w:r>
        <w:t xml:space="preserve">neurodevelopmental and cardiovascular inequity in low- and middle-income</w:t>
      </w:r>
      <w:r>
        <w:t xml:space="preserve"> </w:t>
      </w:r>
      <w:r>
        <w:t xml:space="preserve">countries (LMICs). Much of the remaining burden now comes from informal</w:t>
      </w:r>
      <w:r>
        <w:t xml:space="preserve"> </w:t>
      </w:r>
      <w:r>
        <w:t xml:space="preserve">consumer products that households cannot easily identify and regulators</w:t>
      </w:r>
      <w:r>
        <w:t xml:space="preserve"> </w:t>
      </w:r>
      <w:r>
        <w:t xml:space="preserve">do not easily control, including artisanal cookware, traditional</w:t>
      </w:r>
      <w:r>
        <w:t xml:space="preserve"> </w:t>
      </w:r>
      <w:r>
        <w:t xml:space="preserve">cosmetics and lead-contaminated food-contact items. We propose a</w:t>
      </w:r>
      <w:r>
        <w:t xml:space="preserve"> </w:t>
      </w:r>
      <w:r>
        <w:t xml:space="preserve">Sentinel Firewall framework that identifies high-risk districts and</w:t>
      </w:r>
      <w:r>
        <w:t xml:space="preserve"> </w:t>
      </w:r>
      <w:r>
        <w:t xml:space="preserve">deploys safe-product packages through existing contacts during</w:t>
      </w:r>
      <w:r>
        <w:t xml:space="preserve"> </w:t>
      </w:r>
      <w:r>
        <w:t xml:space="preserve">pregnancy, birth and early childhood. We evaluate two packages: a</w:t>
      </w:r>
      <w:r>
        <w:t xml:space="preserve"> </w:t>
      </w:r>
      <w:r>
        <w:t xml:space="preserve">Kitchen Package consisting of a lead-safe pot voucher, calcium and safe</w:t>
      </w:r>
      <w:r>
        <w:t xml:space="preserve"> </w:t>
      </w:r>
      <w:r>
        <w:t xml:space="preserve">child utensils, and a Kohl Package consisting of safe maternal and</w:t>
      </w:r>
      <w:r>
        <w:t xml:space="preserve"> </w:t>
      </w:r>
      <w:r>
        <w:t xml:space="preserve">infant kohl substitutes. The model incorporates district fixed costs,</w:t>
      </w:r>
      <w:r>
        <w:t xml:space="preserve"> </w:t>
      </w:r>
      <w:r>
        <w:t xml:space="preserve">the duration and developmental timing of lead reduction from each new</w:t>
      </w:r>
      <w:r>
        <w:t xml:space="preserve"> </w:t>
      </w:r>
      <w:r>
        <w:t xml:space="preserve">product, maternal-fetal transfer of lead, and real-world implementation</w:t>
      </w:r>
      <w:r>
        <w:t xml:space="preserve"> </w:t>
      </w:r>
      <w:r>
        <w:t xml:space="preserve">losses from imperfect targeting, imperfect health-system fidelity and</w:t>
      </w:r>
      <w:r>
        <w:t xml:space="preserve"> </w:t>
      </w:r>
      <w:r>
        <w:t xml:space="preserve">incomplete safe-product use. The analysis is intended as an illustrative</w:t>
      </w:r>
      <w:r>
        <w:t xml:space="preserve"> </w:t>
      </w:r>
      <w:r>
        <w:t xml:space="preserve">decision model for settings where one or more hazardous consumer</w:t>
      </w:r>
      <w:r>
        <w:t xml:space="preserve"> </w:t>
      </w:r>
      <w:r>
        <w:t xml:space="preserve">products are common, rather than as a universal estimate for all LMICs.</w:t>
      </w:r>
      <w:r>
        <w:t xml:space="preserve"> </w:t>
      </w:r>
      <w:r>
        <w:t xml:space="preserve">We use a 10 000-draw probabilistic sensitivity analysis with PERT</w:t>
      </w:r>
      <w:r>
        <w:t xml:space="preserve"> </w:t>
      </w:r>
      <w:r>
        <w:t xml:space="preserve">distributions to simulate reductions in maternal and child blood lead,</w:t>
      </w:r>
      <w:r>
        <w:t xml:space="preserve"> </w:t>
      </w:r>
      <w:r>
        <w:t xml:space="preserve">child cognitive gains, maternal and neonatal health gains, adult</w:t>
      </w:r>
      <w:r>
        <w:t xml:space="preserve"> </w:t>
      </w:r>
      <w:r>
        <w:t xml:space="preserve">cardiovascular health gains and income gains. Both packages generate</w:t>
      </w:r>
      <w:r>
        <w:t xml:space="preserve"> </w:t>
      </w:r>
      <w:r>
        <w:t xml:space="preserve">median benefit-cost ratios greater than 4, and the 5th percentile of</w:t>
      </w:r>
      <w:r>
        <w:t xml:space="preserve"> </w:t>
      </w:r>
      <w:r>
        <w:t xml:space="preserve">the social benefit-cost ratio remains above parity in both packages.</w:t>
      </w:r>
      <w:r>
        <w:t xml:space="preserve"> </w:t>
      </w:r>
      <w:r>
        <w:t xml:space="preserve">The public spreadsheet and Python code allow ministries, NGOs and local</w:t>
      </w:r>
      <w:r>
        <w:t xml:space="preserve"> </w:t>
      </w:r>
      <w:r>
        <w:t xml:space="preserve">researchers to replace the illustrative assumptions with local data.</w:t>
      </w:r>
      <w:r>
        <w:t xml:space="preserve"> </w:t>
      </w:r>
      <w:r>
        <w:t xml:space="preserve">These findings support targeted pilot implementation of safe-product</w:t>
      </w:r>
      <w:r>
        <w:t xml:space="preserve"> </w:t>
      </w:r>
      <w:r>
        <w:t xml:space="preserve">substitution through maternal and child health systems while stronger</w:t>
      </w:r>
      <w:r>
        <w:t xml:space="preserve"> </w:t>
      </w:r>
      <w:r>
        <w:t xml:space="preserve">regulatory and industrial reforms are pursued.</w:t>
      </w:r>
    </w:p>
    <w:bookmarkEnd w:id="9"/>
    <w:bookmarkStart w:id="13" w:name="summary-box"/>
    <w:p>
      <w:pPr>
        <w:pStyle w:val="Heading2"/>
      </w:pPr>
      <w:r>
        <w:t xml:space="preserve">Summary box</w:t>
      </w:r>
    </w:p>
    <w:bookmarkStart w:id="10" w:name="what-is-already-known"/>
    <w:p>
      <w:pPr>
        <w:pStyle w:val="Heading3"/>
      </w:pPr>
      <w:r>
        <w:t xml:space="preserve">What is already known</w:t>
      </w:r>
    </w:p>
    <w:p>
      <w:pPr>
        <w:pStyle w:val="Compact"/>
        <w:numPr>
          <w:ilvl w:val="0"/>
          <w:numId w:val="1001"/>
        </w:numPr>
      </w:pPr>
      <w:r>
        <w:t xml:space="preserve">Lead exposure remains a major cause of neurodevelopmental loss and</w:t>
      </w:r>
      <w:r>
        <w:t xml:space="preserve"> </w:t>
      </w:r>
      <w:r>
        <w:t xml:space="preserve">adult cardiovascular disease in LMICs.</w:t>
      </w:r>
    </w:p>
    <w:p>
      <w:pPr>
        <w:pStyle w:val="Compact"/>
        <w:numPr>
          <w:ilvl w:val="0"/>
          <w:numId w:val="1001"/>
        </w:numPr>
      </w:pPr>
      <w:r>
        <w:t xml:space="preserve">Important contemporary exposure routes often arise from informal</w:t>
      </w:r>
      <w:r>
        <w:t xml:space="preserve"> </w:t>
      </w:r>
      <w:r>
        <w:t xml:space="preserve">consumer products such as artisanal metal cookware, traditional leaded</w:t>
      </w:r>
      <w:r>
        <w:t xml:space="preserve"> </w:t>
      </w:r>
      <w:r>
        <w:t xml:space="preserve">cosmetics and lead-contaminated food-contact items.</w:t>
      </w:r>
    </w:p>
    <w:p>
      <w:pPr>
        <w:pStyle w:val="Compact"/>
        <w:numPr>
          <w:ilvl w:val="0"/>
          <w:numId w:val="1001"/>
        </w:numPr>
      </w:pPr>
      <w:r>
        <w:t xml:space="preserve">Pregnancy, infancy and early childhood are especially vulnerable</w:t>
      </w:r>
      <w:r>
        <w:t xml:space="preserve"> </w:t>
      </w:r>
      <w:r>
        <w:t xml:space="preserve">windows because maternal lead can be mobilised during pregnancy and</w:t>
      </w:r>
      <w:r>
        <w:t xml:space="preserve"> </w:t>
      </w:r>
      <w:r>
        <w:t xml:space="preserve">transferred to the fetus, while infants and young children absorb more</w:t>
      </w:r>
      <w:r>
        <w:t xml:space="preserve"> </w:t>
      </w:r>
      <w:r>
        <w:t xml:space="preserve">ingested lead than adults.</w:t>
      </w:r>
    </w:p>
    <w:bookmarkEnd w:id="10"/>
    <w:bookmarkStart w:id="11" w:name="what-are-the-new-findings"/>
    <w:p>
      <w:pPr>
        <w:pStyle w:val="Heading3"/>
      </w:pPr>
      <w:r>
        <w:t xml:space="preserve">What are the new findings</w:t>
      </w:r>
    </w:p>
    <w:p>
      <w:pPr>
        <w:pStyle w:val="Compact"/>
        <w:numPr>
          <w:ilvl w:val="0"/>
          <w:numId w:val="1002"/>
        </w:numPr>
      </w:pPr>
      <w:r>
        <w:t xml:space="preserve">We propose a Sentinel Firewall framework that identifies high-risk</w:t>
      </w:r>
      <w:r>
        <w:t xml:space="preserve"> </w:t>
      </w:r>
      <w:r>
        <w:t xml:space="preserve">districts or catchments and uses existing maternal and child health</w:t>
      </w:r>
      <w:r>
        <w:t xml:space="preserve"> </w:t>
      </w:r>
      <w:r>
        <w:t xml:space="preserve">platforms to distribute safe-product substitutes targeted to locally</w:t>
      </w:r>
      <w:r>
        <w:t xml:space="preserve"> </w:t>
      </w:r>
      <w:r>
        <w:t xml:space="preserve">identified hazards.</w:t>
      </w:r>
    </w:p>
    <w:p>
      <w:pPr>
        <w:pStyle w:val="Compact"/>
        <w:numPr>
          <w:ilvl w:val="0"/>
          <w:numId w:val="1002"/>
        </w:numPr>
      </w:pPr>
      <w:r>
        <w:t xml:space="preserve">We evaluate a Kitchen Package delivered through antenatal care and</w:t>
      </w:r>
      <w:r>
        <w:t xml:space="preserve"> </w:t>
      </w:r>
      <w:r>
        <w:t xml:space="preserve">immunisation contacts, and a Kohl Package delivered through antenatal</w:t>
      </w:r>
      <w:r>
        <w:t xml:space="preserve"> </w:t>
      </w:r>
      <w:r>
        <w:t xml:space="preserve">care plus either facility delivery or early-immunisation catch-up.</w:t>
      </w:r>
    </w:p>
    <w:p>
      <w:pPr>
        <w:pStyle w:val="Compact"/>
        <w:numPr>
          <w:ilvl w:val="0"/>
          <w:numId w:val="1002"/>
        </w:numPr>
      </w:pPr>
      <w:r>
        <w:t xml:space="preserve">In a 10 000-draw Monte Carlo simulation, both packages have median</w:t>
      </w:r>
      <w:r>
        <w:t xml:space="preserve"> </w:t>
      </w:r>
      <w:r>
        <w:t xml:space="preserve">benefit-cost ratios above parity, but the Kitchen Package is more</w:t>
      </w:r>
      <w:r>
        <w:t xml:space="preserve"> </w:t>
      </w:r>
      <w:r>
        <w:t xml:space="preserve">robust and the Kohl Package has a wider lower tail.</w:t>
      </w:r>
    </w:p>
    <w:p>
      <w:pPr>
        <w:pStyle w:val="Compact"/>
        <w:numPr>
          <w:ilvl w:val="0"/>
          <w:numId w:val="1002"/>
        </w:numPr>
      </w:pPr>
      <w:r>
        <w:t xml:space="preserve">The model is designed as a transparent local-adaptation tool: users</w:t>
      </w:r>
      <w:r>
        <w:t xml:space="preserve"> </w:t>
      </w:r>
      <w:r>
        <w:t xml:space="preserve">can replace the illustrative LMIC hotspot assumptions with local</w:t>
      </w:r>
      <w:r>
        <w:t xml:space="preserve"> </w:t>
      </w:r>
      <w:r>
        <w:t xml:space="preserve">prevalence, cost, uptake and blood lead response data.</w:t>
      </w:r>
    </w:p>
    <w:bookmarkEnd w:id="11"/>
    <w:bookmarkStart w:id="12" w:name="what-do-the-new-findings-imply"/>
    <w:p>
      <w:pPr>
        <w:pStyle w:val="Heading3"/>
      </w:pPr>
      <w:r>
        <w:t xml:space="preserve">What do the new findings imply</w:t>
      </w:r>
    </w:p>
    <w:p>
      <w:pPr>
        <w:pStyle w:val="Compact"/>
        <w:numPr>
          <w:ilvl w:val="0"/>
          <w:numId w:val="1003"/>
        </w:numPr>
      </w:pPr>
      <w:r>
        <w:t xml:space="preserve">Health ministries may be able to reduce lead exposure during the</w:t>
      </w:r>
      <w:r>
        <w:t xml:space="preserve"> </w:t>
      </w:r>
      <w:r>
        <w:t xml:space="preserve">highest-risk life stages by integrating targeted safe-product</w:t>
      </w:r>
      <w:r>
        <w:t xml:space="preserve"> </w:t>
      </w:r>
      <w:r>
        <w:t xml:space="preserve">replacement into existing maternal and child health contacts.</w:t>
      </w:r>
    </w:p>
    <w:p>
      <w:pPr>
        <w:pStyle w:val="Compact"/>
        <w:numPr>
          <w:ilvl w:val="0"/>
          <w:numId w:val="1003"/>
        </w:numPr>
      </w:pPr>
      <w:r>
        <w:t xml:space="preserve">Sentinel screening and voucher-linked substitution can provide</w:t>
      </w:r>
      <w:r>
        <w:t xml:space="preserve"> </w:t>
      </w:r>
      <w:r>
        <w:t xml:space="preserve">immediate risk reduction while generating intelligence about where to</w:t>
      </w:r>
      <w:r>
        <w:t xml:space="preserve"> </w:t>
      </w:r>
      <w:r>
        <w:t xml:space="preserve">target enforcement and producer upgrading.</w:t>
      </w:r>
    </w:p>
    <w:p>
      <w:pPr>
        <w:pStyle w:val="Compact"/>
        <w:numPr>
          <w:ilvl w:val="0"/>
          <w:numId w:val="1003"/>
        </w:numPr>
      </w:pPr>
      <w:r>
        <w:t xml:space="preserve">Because almost all parameters remain uncertain, pilot programmes</w:t>
      </w:r>
      <w:r>
        <w:t xml:space="preserve"> </w:t>
      </w:r>
      <w:r>
        <w:t xml:space="preserve">should prioritise measurement of product prevalence, redemption,</w:t>
      </w:r>
      <w:r>
        <w:t xml:space="preserve"> </w:t>
      </w:r>
      <w:r>
        <w:t xml:space="preserve">sustained use, residual unsafe use and measured blood lead response.</w:t>
      </w:r>
    </w:p>
    <w:p>
      <w:pPr>
        <w:pStyle w:val="Compact"/>
        <w:numPr>
          <w:ilvl w:val="0"/>
          <w:numId w:val="1003"/>
        </w:numPr>
      </w:pPr>
      <w:r>
        <w:t xml:space="preserve">The spreadsheet and Python code are intended to help ministries, NGOs</w:t>
      </w:r>
      <w:r>
        <w:t xml:space="preserve"> </w:t>
      </w:r>
      <w:r>
        <w:t xml:space="preserve">and local researchers test whether substitution appears cost-effective</w:t>
      </w:r>
      <w:r>
        <w:t xml:space="preserve"> </w:t>
      </w:r>
      <w:r>
        <w:t xml:space="preserve">in their own regions before scaling.</w:t>
      </w:r>
    </w:p>
    <w:bookmarkEnd w:id="12"/>
    <w:bookmarkEnd w:id="13"/>
    <w:bookmarkEnd w:id="14"/>
    <w:bookmarkStart w:id="17" w:name="the-crisis-of-informal-exposure"/>
    <w:p>
      <w:pPr>
        <w:pStyle w:val="Heading1"/>
      </w:pPr>
      <w:r>
        <w:t xml:space="preserve">The crisis of informal exposure</w:t>
      </w:r>
    </w:p>
    <w:p>
      <w:pPr>
        <w:pStyle w:val="FirstParagraph"/>
      </w:pPr>
      <w:r>
        <w:t xml:space="preserve">Lead exposure in LMICs increasingly reflects a regulatory mismatch.</w:t>
      </w:r>
      <w:r>
        <w:t xml:space="preserve"> </w:t>
      </w:r>
      <w:r>
        <w:t xml:space="preserve">Although the long-term goal should be to remove lead from the global</w:t>
      </w:r>
      <w:r>
        <w:t xml:space="preserve"> </w:t>
      </w:r>
      <w:r>
        <w:t xml:space="preserve">economy, millions of tonnes of lead continue to circulate through</w:t>
      </w:r>
      <w:r>
        <w:t xml:space="preserve"> </w:t>
      </w:r>
      <w:r>
        <w:t xml:space="preserve">mining, manufacturing, recycling and informal supply chains, with harms</w:t>
      </w:r>
      <w:r>
        <w:t xml:space="preserve"> </w:t>
      </w:r>
      <w:r>
        <w:t xml:space="preserve">falling disproportionately on LMICs.1 After the phase-out of leaded</w:t>
      </w:r>
      <w:r>
        <w:t xml:space="preserve"> </w:t>
      </w:r>
      <w:r>
        <w:t xml:space="preserve">gasoline, a larger share of the remaining burden now comes from the</w:t>
      </w:r>
      <w:r>
        <w:t xml:space="preserve"> </w:t>
      </w:r>
      <w:r>
        <w:t xml:space="preserve">“last mile”</w:t>
      </w:r>
      <w:r>
        <w:t xml:space="preserve"> </w:t>
      </w:r>
      <w:r>
        <w:t xml:space="preserve">of lead exposure: ordinary consumer products that</w:t>
      </w:r>
      <w:r>
        <w:t xml:space="preserve"> </w:t>
      </w:r>
      <w:r>
        <w:t xml:space="preserve">households use every day, but that regulators do not easily observe or</w:t>
      </w:r>
      <w:r>
        <w:t xml:space="preserve"> </w:t>
      </w:r>
      <w:r>
        <w:t xml:space="preserve">control. These include artisanal cookware cast from mixed scrap,</w:t>
      </w:r>
      <w:r>
        <w:t xml:space="preserve"> </w:t>
      </w:r>
      <w:r>
        <w:t xml:space="preserve">traditional eye cosmetics such as kohl or surma, and ceramics or other</w:t>
      </w:r>
      <w:r>
        <w:t xml:space="preserve"> </w:t>
      </w:r>
      <w:r>
        <w:t xml:space="preserve">food-contact goods containing lead. WHO identifies cosmetics, ceramic</w:t>
      </w:r>
      <w:r>
        <w:t xml:space="preserve"> </w:t>
      </w:r>
      <w:r>
        <w:t xml:space="preserve">glazes, toys, traditional medicines, paint and contaminated food or</w:t>
      </w:r>
      <w:r>
        <w:t xml:space="preserve"> </w:t>
      </w:r>
      <w:r>
        <w:t xml:space="preserve">water as continuing sources of lead exposure, while recent rapid market</w:t>
      </w:r>
      <w:r>
        <w:t xml:space="preserve"> </w:t>
      </w:r>
      <w:r>
        <w:t xml:space="preserve">screening across 25 LMICs found frequent contamination in metal</w:t>
      </w:r>
      <w:r>
        <w:t xml:space="preserve"> </w:t>
      </w:r>
      <w:r>
        <w:t xml:space="preserve">foodware, ceramics, paints and cosmetics.2,3</w:t>
      </w:r>
    </w:p>
    <w:p>
      <w:pPr>
        <w:pStyle w:val="BodyText"/>
      </w:pPr>
      <w:r>
        <w:t xml:space="preserve">These products may be widely trusted, culturally embedded and difficult</w:t>
      </w:r>
      <w:r>
        <w:t xml:space="preserve"> </w:t>
      </w:r>
      <w:r>
        <w:t xml:space="preserve">for households to distinguish from safer alternatives. Because lead</w:t>
      </w:r>
      <w:r>
        <w:t xml:space="preserve"> </w:t>
      </w:r>
      <w:r>
        <w:t xml:space="preserve">toxicity is almost always invisible in the short run, households receive</w:t>
      </w:r>
      <w:r>
        <w:t xml:space="preserve"> </w:t>
      </w:r>
      <w:r>
        <w:t xml:space="preserve">no immediate warning signal that would trigger avoidance. But low</w:t>
      </w:r>
      <w:r>
        <w:t xml:space="preserve"> </w:t>
      </w:r>
      <w:r>
        <w:t xml:space="preserve">visibility does not imply low importance: WHO estimates that lead</w:t>
      </w:r>
      <w:r>
        <w:t xml:space="preserve"> </w:t>
      </w:r>
      <w:r>
        <w:t xml:space="preserve">exposure caused more than 1.5 million deaths in 2021, primarily through</w:t>
      </w:r>
      <w:r>
        <w:t xml:space="preserve"> </w:t>
      </w:r>
      <w:r>
        <w:t xml:space="preserve">cardiovascular disease, and substantial disability worldwide.2</w:t>
      </w:r>
    </w:p>
    <w:p>
      <w:pPr>
        <w:pStyle w:val="BodyText"/>
      </w:pPr>
      <w:r>
        <w:t xml:space="preserve">The regulatory mismatch matters especially during pregnancy and early</w:t>
      </w:r>
      <w:r>
        <w:t xml:space="preserve"> </w:t>
      </w:r>
      <w:r>
        <w:t xml:space="preserve">childhood. Lead stored in bone can be released into blood during</w:t>
      </w:r>
      <w:r>
        <w:t xml:space="preserve"> </w:t>
      </w:r>
      <w:r>
        <w:t xml:space="preserve">pregnancy and become a source of fetal exposure. Infants and young</w:t>
      </w:r>
      <w:r>
        <w:t xml:space="preserve"> </w:t>
      </w:r>
      <w:r>
        <w:t xml:space="preserve">children are also more vulnerable because they absorb more ingested lead</w:t>
      </w:r>
      <w:r>
        <w:t xml:space="preserve"> </w:t>
      </w:r>
      <w:r>
        <w:t xml:space="preserve">than adults and because the developing brain is highly sensitive to</w:t>
      </w:r>
      <w:r>
        <w:t xml:space="preserve"> </w:t>
      </w:r>
      <w:r>
        <w:t xml:space="preserve">toxic injury.2 These overlapping pathways mean that a practical</w:t>
      </w:r>
      <w:r>
        <w:t xml:space="preserve"> </w:t>
      </w:r>
      <w:r>
        <w:t xml:space="preserve">lead-control strategy in many LMIC settings must do two things at once:</w:t>
      </w:r>
      <w:r>
        <w:t xml:space="preserve"> </w:t>
      </w:r>
      <w:r>
        <w:t xml:space="preserve">identify local exposure clusters and protect households during the life</w:t>
      </w:r>
      <w:r>
        <w:t xml:space="preserve"> </w:t>
      </w:r>
      <w:r>
        <w:t xml:space="preserve">stages when developmental harm is largest.</w:t>
      </w:r>
    </w:p>
    <w:bookmarkStart w:id="15" w:name="three-tractable-exposure-pathways"/>
    <w:p>
      <w:pPr>
        <w:pStyle w:val="Heading2"/>
      </w:pPr>
      <w:r>
        <w:t xml:space="preserve">Three tractable exposure pathways</w:t>
      </w:r>
    </w:p>
    <w:p>
      <w:pPr>
        <w:pStyle w:val="FirstParagraph"/>
      </w:pPr>
      <w:r>
        <w:t xml:space="preserve">The relative importance of lead sources varies across regions, but three</w:t>
      </w:r>
      <w:r>
        <w:t xml:space="preserve"> </w:t>
      </w:r>
      <w:r>
        <w:t xml:space="preserve">consumer-product pathways illustrate a broader pattern of informally</w:t>
      </w:r>
      <w:r>
        <w:t xml:space="preserve"> </w:t>
      </w:r>
      <w:r>
        <w:t xml:space="preserve">produced, weakly regulated goods that can generate large exposure in</w:t>
      </w:r>
      <w:r>
        <w:t xml:space="preserve"> </w:t>
      </w:r>
      <w:r>
        <w:t xml:space="preserve">specific communities.</w:t>
      </w:r>
    </w:p>
    <w:p>
      <w:pPr>
        <w:pStyle w:val="BodyText"/>
      </w:pPr>
      <w:r>
        <w:t xml:space="preserve">First, artisanal aluminium cookware can leach lead into food when pots</w:t>
      </w:r>
      <w:r>
        <w:t xml:space="preserve"> </w:t>
      </w:r>
      <w:r>
        <w:t xml:space="preserve">are cast from mixed scrap containing leaded materials. Studies of metal</w:t>
      </w:r>
      <w:r>
        <w:t xml:space="preserve"> </w:t>
      </w:r>
      <w:r>
        <w:t xml:space="preserve">cookware in Cameroon and other settings show that lead can leach from</w:t>
      </w:r>
      <w:r>
        <w:t xml:space="preserve"> </w:t>
      </w:r>
      <w:r>
        <w:t xml:space="preserve">artisanal aluminium pots at levels capable of producing substantial</w:t>
      </w:r>
      <w:r>
        <w:t xml:space="preserve"> </w:t>
      </w:r>
      <w:r>
        <w:t xml:space="preserve">dietary exposure.4,5 Second, lead-contaminated cups, mugs, bowls and</w:t>
      </w:r>
      <w:r>
        <w:t xml:space="preserve"> </w:t>
      </w:r>
      <w:r>
        <w:t xml:space="preserve">spoons can increase chronic ingestion among infants and toddlers once</w:t>
      </w:r>
      <w:r>
        <w:t xml:space="preserve"> </w:t>
      </w:r>
      <w:r>
        <w:t xml:space="preserve">complementary feeding begins. The parameterisation in this paper treats</w:t>
      </w:r>
      <w:r>
        <w:t xml:space="preserve"> </w:t>
      </w:r>
      <w:r>
        <w:t xml:space="preserve">this pathway as plausible but less directly measured than the cookware</w:t>
      </w:r>
      <w:r>
        <w:t xml:space="preserve"> </w:t>
      </w:r>
      <w:r>
        <w:t xml:space="preserve">pathway, drawing on the broader literature on lead-contaminated foodware</w:t>
      </w:r>
      <w:r>
        <w:t xml:space="preserve"> </w:t>
      </w:r>
      <w:r>
        <w:t xml:space="preserve">and lead-glazed ceramics.3,6 Third, traditional eye cosmetics such as</w:t>
      </w:r>
      <w:r>
        <w:t xml:space="preserve"> </w:t>
      </w:r>
      <w:r>
        <w:t xml:space="preserve">kohl, kajal or surma often begin in the neonatal period for perceived</w:t>
      </w:r>
      <w:r>
        <w:t xml:space="preserve"> </w:t>
      </w:r>
      <w:r>
        <w:t xml:space="preserve">protective, ritual or health reasons. These products can contain very</w:t>
      </w:r>
      <w:r>
        <w:t xml:space="preserve"> </w:t>
      </w:r>
      <w:r>
        <w:t xml:space="preserve">high lead concentrations, and clinical and surveillance reports document</w:t>
      </w:r>
      <w:r>
        <w:t xml:space="preserve"> </w:t>
      </w:r>
      <w:r>
        <w:t xml:space="preserve">exposure among mothers and children.3,7</w:t>
      </w:r>
    </w:p>
    <w:p>
      <w:pPr>
        <w:pStyle w:val="BodyText"/>
      </w:pPr>
      <w:r>
        <w:t xml:space="preserve">The three sources are attractive targets for policy because substitutes</w:t>
      </w:r>
      <w:r>
        <w:t xml:space="preserve"> </w:t>
      </w:r>
      <w:r>
        <w:t xml:space="preserve">exist. Unlike diffuse ambient contamination, contaminated cookware,</w:t>
      </w:r>
      <w:r>
        <w:t xml:space="preserve"> </w:t>
      </w:r>
      <w:r>
        <w:t xml:space="preserve">foodware and kohl can in principle be replaced quickly if safe</w:t>
      </w:r>
      <w:r>
        <w:t xml:space="preserve"> </w:t>
      </w:r>
      <w:r>
        <w:t xml:space="preserve">alternatives are culturally acceptable and governments can create</w:t>
      </w:r>
      <w:r>
        <w:t xml:space="preserve"> </w:t>
      </w:r>
      <w:r>
        <w:t xml:space="preserve">credible supply chains for safe products.</w:t>
      </w:r>
    </w:p>
    <w:bookmarkEnd w:id="15"/>
    <w:bookmarkStart w:id="16" w:name="Xb2f47d2e3b5daaf3a97c9f6aab7a0c59809520f"/>
    <w:p>
      <w:pPr>
        <w:pStyle w:val="Heading2"/>
      </w:pPr>
      <w:r>
        <w:t xml:space="preserve">Pregnancy as a window of vulnerability and opportunity</w:t>
      </w:r>
    </w:p>
    <w:p>
      <w:pPr>
        <w:pStyle w:val="FirstParagraph"/>
      </w:pPr>
      <w:r>
        <w:t xml:space="preserve">Pregnancy is both a biological vulnerability and a programmatic</w:t>
      </w:r>
      <w:r>
        <w:t xml:space="preserve"> </w:t>
      </w:r>
      <w:r>
        <w:t xml:space="preserve">opportunity. Lead stored in maternal bone can be mobilised during</w:t>
      </w:r>
      <w:r>
        <w:t xml:space="preserve"> </w:t>
      </w:r>
      <w:r>
        <w:t xml:space="preserve">pregnancy and lactation, and maternal blood lead is strongly related to</w:t>
      </w:r>
      <w:r>
        <w:t xml:space="preserve"> </w:t>
      </w:r>
      <w:r>
        <w:t xml:space="preserve">fetal exposure. Nutritional deficits, especially low calcium intake, can</w:t>
      </w:r>
      <w:r>
        <w:t xml:space="preserve"> </w:t>
      </w:r>
      <w:r>
        <w:t xml:space="preserve">worsen this process by increasing mobilisation or absorption of lead;</w:t>
      </w:r>
      <w:r>
        <w:t xml:space="preserve"> </w:t>
      </w:r>
      <w:r>
        <w:t xml:space="preserve">calcium supplementation during pregnancy has been shown in a randomised</w:t>
      </w:r>
      <w:r>
        <w:t xml:space="preserve"> </w:t>
      </w:r>
      <w:r>
        <w:t xml:space="preserve">trial to reduce maternal blood lead levels.2,8 Antenatal care (ANC)</w:t>
      </w:r>
      <w:r>
        <w:t xml:space="preserve"> </w:t>
      </w:r>
      <w:r>
        <w:t xml:space="preserve">reaches a large share of pregnant women in many LMICs, and health</w:t>
      </w:r>
      <w:r>
        <w:t xml:space="preserve"> </w:t>
      </w:r>
      <w:r>
        <w:t xml:space="preserve">systems already use ANC contacts to provide counselling, supplements and</w:t>
      </w:r>
      <w:r>
        <w:t xml:space="preserve"> </w:t>
      </w:r>
      <w:r>
        <w:t xml:space="preserve">referrals.9 Routine immunisation visits create an additional platform</w:t>
      </w:r>
      <w:r>
        <w:t xml:space="preserve"> </w:t>
      </w:r>
      <w:r>
        <w:t xml:space="preserve">for reaching infants when complementary feeding begins and child</w:t>
      </w:r>
      <w:r>
        <w:t xml:space="preserve"> </w:t>
      </w:r>
      <w:r>
        <w:t xml:space="preserve">exposure pathways expand.10,11 Facility delivery is another possible</w:t>
      </w:r>
      <w:r>
        <w:t xml:space="preserve"> </w:t>
      </w:r>
      <w:r>
        <w:t xml:space="preserve">contact for newborn interventions, but delivery and immunisation</w:t>
      </w:r>
      <w:r>
        <w:t xml:space="preserve"> </w:t>
      </w:r>
      <w:r>
        <w:t xml:space="preserve">contacts are correlated rather than independent. The model therefore</w:t>
      </w:r>
      <w:r>
        <w:t xml:space="preserve"> </w:t>
      </w:r>
      <w:r>
        <w:t xml:space="preserve">treats infant kohl delivery as occurring through the union of facility</w:t>
      </w:r>
      <w:r>
        <w:t xml:space="preserve"> </w:t>
      </w:r>
      <w:r>
        <w:t xml:space="preserve">delivery or early-immunisation catch-up.</w:t>
      </w:r>
    </w:p>
    <w:bookmarkEnd w:id="16"/>
    <w:bookmarkEnd w:id="17"/>
    <w:bookmarkStart w:id="19" w:name="the-sentinel-firewall-framework"/>
    <w:p>
      <w:pPr>
        <w:pStyle w:val="Heading1"/>
      </w:pPr>
      <w:r>
        <w:t xml:space="preserve">The Sentinel Firewall framework</w:t>
      </w:r>
    </w:p>
    <w:p>
      <w:pPr>
        <w:pStyle w:val="FirstParagraph"/>
      </w:pPr>
      <w:r>
        <w:t xml:space="preserve">We propose a Sentinel Firewall framework in which maternal and child</w:t>
      </w:r>
      <w:r>
        <w:t xml:space="preserve"> </w:t>
      </w:r>
      <w:r>
        <w:t xml:space="preserve">health services act as a temporary consumer-protection layer while</w:t>
      </w:r>
      <w:r>
        <w:t xml:space="preserve"> </w:t>
      </w:r>
      <w:r>
        <w:t xml:space="preserve">environmental enforcement and producer upgrading catch up. First,</w:t>
      </w:r>
      <w:r>
        <w:t xml:space="preserve"> </w:t>
      </w:r>
      <w:r>
        <w:t xml:space="preserve">districts or subdistricts with evidence of concentrated product</w:t>
      </w:r>
      <w:r>
        <w:t xml:space="preserve"> </w:t>
      </w:r>
      <w:r>
        <w:t xml:space="preserve">contamination are identified through sentinel screening, including</w:t>
      </w:r>
      <w:r>
        <w:t xml:space="preserve"> </w:t>
      </w:r>
      <w:r>
        <w:t xml:space="preserve">market sweeps, rapid field screening of high-risk goods, clinic-linked</w:t>
      </w:r>
      <w:r>
        <w:t xml:space="preserve"> </w:t>
      </w:r>
      <w:r>
        <w:t xml:space="preserve">intelligence and, where feasible, sentinel child blood lead monitoring.</w:t>
      </w:r>
      <w:r>
        <w:t xml:space="preserve"> </w:t>
      </w:r>
      <w:r>
        <w:t xml:space="preserve">Rapid market screening with X-ray fluorescence has already been used</w:t>
      </w:r>
      <w:r>
        <w:t xml:space="preserve"> </w:t>
      </w:r>
      <w:r>
        <w:t xml:space="preserve">across 25 LMICs to identify contaminated consumer products and foodware</w:t>
      </w:r>
      <w:r>
        <w:t xml:space="preserve"> </w:t>
      </w:r>
      <w:r>
        <w:t xml:space="preserve">categories that could plausibly guide local prioritisation.3</w:t>
      </w:r>
    </w:p>
    <w:p>
      <w:pPr>
        <w:pStyle w:val="BodyText"/>
      </w:pPr>
      <w:r>
        <w:t xml:space="preserve">Second, when a district or catchment is flagged, health contacts trigger</w:t>
      </w:r>
      <w:r>
        <w:t xml:space="preserve"> </w:t>
      </w:r>
      <w:r>
        <w:t xml:space="preserve">modular intervention packages targeted to the locally dominant exposure</w:t>
      </w:r>
      <w:r>
        <w:t xml:space="preserve"> </w:t>
      </w:r>
      <w:r>
        <w:t xml:space="preserve">routes. Third, the programme closes the loop by feeding information from</w:t>
      </w:r>
      <w:r>
        <w:t xml:space="preserve"> </w:t>
      </w:r>
      <w:r>
        <w:t xml:space="preserve">product replacement and biomonitoring back into enforcement. If sentinel</w:t>
      </w:r>
      <w:r>
        <w:t xml:space="preserve"> </w:t>
      </w:r>
      <w:r>
        <w:t xml:space="preserve">sweeps, voucher redemption or surrendered products repeatedly identify</w:t>
      </w:r>
      <w:r>
        <w:t xml:space="preserve"> </w:t>
      </w:r>
      <w:r>
        <w:t xml:space="preserve">specific hazardous goods or supply chains, those data can help</w:t>
      </w:r>
      <w:r>
        <w:t xml:space="preserve"> </w:t>
      </w:r>
      <w:r>
        <w:t xml:space="preserve">prioritise enforcement and producer conversion to safe products.</w:t>
      </w:r>
    </w:p>
    <w:p>
      <w:pPr>
        <w:pStyle w:val="BodyText"/>
      </w:pPr>
      <w:r>
        <w:t xml:space="preserve">The Sentinel Firewall is not a substitute for structural lead control.</w:t>
      </w:r>
      <w:r>
        <w:t xml:space="preserve"> </w:t>
      </w:r>
      <w:r>
        <w:t xml:space="preserve">It is an emergency harm-reduction strategy designed to buy time, protect</w:t>
      </w:r>
      <w:r>
        <w:t xml:space="preserve"> </w:t>
      </w:r>
      <w:r>
        <w:t xml:space="preserve">the most vulnerable groups and generate actionable intelligence to</w:t>
      </w:r>
      <w:r>
        <w:t xml:space="preserve"> </w:t>
      </w:r>
      <w:r>
        <w:t xml:space="preserve">reduce the supply of products containing lead.</w:t>
      </w:r>
    </w:p>
    <w:bookmarkStart w:id="18" w:name="the-safe-products-packages"/>
    <w:p>
      <w:pPr>
        <w:pStyle w:val="Heading2"/>
      </w:pPr>
      <w:r>
        <w:t xml:space="preserve">The safe-products packages</w:t>
      </w:r>
    </w:p>
    <w:p>
      <w:pPr>
        <w:pStyle w:val="FirstParagraph"/>
      </w:pPr>
      <w:r>
        <w:t xml:space="preserve">We evaluate two intervention packages. The Kitchen Package includes a</w:t>
      </w:r>
      <w:r>
        <w:t xml:space="preserve"> </w:t>
      </w:r>
      <w:r>
        <w:t xml:space="preserve">voucher distributed through ANC for a lead-safe cooking pot, calcium</w:t>
      </w:r>
      <w:r>
        <w:t xml:space="preserve"> </w:t>
      </w:r>
      <w:r>
        <w:t xml:space="preserve">delivered through ANC and safe child utensils delivered at infant</w:t>
      </w:r>
      <w:r>
        <w:t xml:space="preserve"> </w:t>
      </w:r>
      <w:r>
        <w:t xml:space="preserve">immunisation visits. The package is designed to protect the pregnant</w:t>
      </w:r>
      <w:r>
        <w:t xml:space="preserve"> </w:t>
      </w:r>
      <w:r>
        <w:t xml:space="preserve">woman, reduce fetal exposure through lower maternal blood lead and lower</w:t>
      </w:r>
      <w:r>
        <w:t xml:space="preserve"> </w:t>
      </w:r>
      <w:r>
        <w:t xml:space="preserve">direct child exposure after birth.</w:t>
      </w:r>
    </w:p>
    <w:p>
      <w:pPr>
        <w:pStyle w:val="BodyText"/>
      </w:pPr>
      <w:r>
        <w:t xml:space="preserve">The Kohl Package includes safe maternal kohl delivered through ANC and</w:t>
      </w:r>
      <w:r>
        <w:t xml:space="preserve"> </w:t>
      </w:r>
      <w:r>
        <w:t xml:space="preserve">safe infant kohl delivered through either facility delivery or</w:t>
      </w:r>
      <w:r>
        <w:t xml:space="preserve"> </w:t>
      </w:r>
      <w:r>
        <w:t xml:space="preserve">early-immunisation catch-up. The main model allows infant kohl exposure</w:t>
      </w:r>
      <w:r>
        <w:t xml:space="preserve"> </w:t>
      </w:r>
      <w:r>
        <w:t xml:space="preserve">among boys as well as girls, because clinical evidence and programme</w:t>
      </w:r>
      <w:r>
        <w:t xml:space="preserve"> </w:t>
      </w:r>
      <w:r>
        <w:t xml:space="preserve">logic suggest that neonatal and first-year use can affect both sexes</w:t>
      </w:r>
      <w:r>
        <w:t xml:space="preserve"> </w:t>
      </w:r>
      <w:r>
        <w:t xml:space="preserve">even where use persists longer among girls in some settings.7 A</w:t>
      </w:r>
      <w:r>
        <w:t xml:space="preserve"> </w:t>
      </w:r>
      <w:r>
        <w:t xml:space="preserve">robustness check restricts infant kohl substitution to girls only.</w:t>
      </w:r>
      <w:r>
        <w:t xml:space="preserve"> </w:t>
      </w:r>
      <w:r>
        <w:t xml:space="preserve">The prevalence parameters for kohl should therefore be interpreted as</w:t>
      </w:r>
      <w:r>
        <w:t xml:space="preserve"> </w:t>
      </w:r>
      <w:r>
        <w:t xml:space="preserve">conditional on screened hotspot settings rather than as unconditional</w:t>
      </w:r>
      <w:r>
        <w:t xml:space="preserve"> </w:t>
      </w:r>
      <w:r>
        <w:t xml:space="preserve">regional averages.</w:t>
      </w:r>
    </w:p>
    <w:bookmarkEnd w:id="18"/>
    <w:bookmarkEnd w:id="19"/>
    <w:bookmarkStart w:id="25" w:name="economic-model"/>
    <w:p>
      <w:pPr>
        <w:pStyle w:val="Heading1"/>
      </w:pPr>
      <w:r>
        <w:t xml:space="preserve">Economic model</w:t>
      </w:r>
    </w:p>
    <w:p>
      <w:pPr>
        <w:pStyle w:val="FirstParagraph"/>
      </w:pPr>
      <w:r>
        <w:t xml:space="preserve">The model asks a simple policy question: if a health system uses</w:t>
      </w:r>
      <w:r>
        <w:t xml:space="preserve"> </w:t>
      </w:r>
      <w:r>
        <w:t xml:space="preserve">maternal and child health contacts to replace leaded products with safer</w:t>
      </w:r>
      <w:r>
        <w:t xml:space="preserve"> </w:t>
      </w:r>
      <w:r>
        <w:t xml:space="preserve">substitutes in high-risk districts, are the resulting social gains</w:t>
      </w:r>
      <w:r>
        <w:t xml:space="preserve"> </w:t>
      </w:r>
      <w:r>
        <w:t xml:space="preserve">likely to exceed programme costs? The paper has two linked</w:t>
      </w:r>
      <w:r>
        <w:t xml:space="preserve"> </w:t>
      </w:r>
      <w:r>
        <w:t xml:space="preserve">contributions. First, it demonstrates what follows when plausible LMIC</w:t>
      </w:r>
      <w:r>
        <w:t xml:space="preserve"> </w:t>
      </w:r>
      <w:r>
        <w:t xml:space="preserve">values are applied to settings where hazardous cookware, kohl or child</w:t>
      </w:r>
      <w:r>
        <w:t xml:space="preserve"> </w:t>
      </w:r>
      <w:r>
        <w:t xml:space="preserve">feeding items are common. Second, it provides a transparent tool that</w:t>
      </w:r>
      <w:r>
        <w:t xml:space="preserve"> </w:t>
      </w:r>
      <w:r>
        <w:t xml:space="preserve">local analysts can adapt with their own prevalence, cost, uptake and</w:t>
      </w:r>
      <w:r>
        <w:t xml:space="preserve"> </w:t>
      </w:r>
      <w:r>
        <w:t xml:space="preserve">blood-lead data. The purpose is therefore not to estimate one global</w:t>
      </w:r>
      <w:r>
        <w:t xml:space="preserve"> </w:t>
      </w:r>
      <w:r>
        <w:t xml:space="preserve">benefit-cost ratio for all LMICs, but to make the assumptions and</w:t>
      </w:r>
      <w:r>
        <w:t xml:space="preserve"> </w:t>
      </w:r>
      <w:r>
        <w:t xml:space="preserve">uncertainty structure explicit enough for local decision-making. We</w:t>
      </w:r>
      <w:r>
        <w:t xml:space="preserve"> </w:t>
      </w:r>
      <w:r>
        <w:t xml:space="preserve">answer that question by linking each package to changes in blood lead,</w:t>
      </w:r>
      <w:r>
        <w:t xml:space="preserve"> </w:t>
      </w:r>
      <w:r>
        <w:t xml:space="preserve">then translating those reductions into child cognitive gains, maternal</w:t>
      </w:r>
      <w:r>
        <w:t xml:space="preserve"> </w:t>
      </w:r>
      <w:r>
        <w:t xml:space="preserve">and neonatal health gains, and adult cardiovascular gains (see Figure 1</w:t>
      </w:r>
      <w:r>
        <w:t xml:space="preserve"> </w:t>
      </w:r>
      <w:r>
        <w:t xml:space="preserve">for the main cognitive pathway).</w:t>
      </w:r>
    </w:p>
    <w:p>
      <w:pPr>
        <w:pStyle w:val="CaptionedFigure"/>
      </w:pPr>
      <w:r>
        <w:drawing>
          <wp:inline>
            <wp:extent cx="5334000" cy="3888622"/>
            <wp:effectExtent b="0" l="0" r="0" t="0"/>
            <wp:docPr descr="Figure 1. Two-panel overview of the Sentinel Firewall logic. Panel A shows the core pathway from safe-product substitution to lower maternal and child blood lead, higher child IQ and higher lifetime earnings. Panel B shows the implementation chain that attenuates realized population effects." title="" id="21" name="Picture"/>
            <a:graphic>
              <a:graphicData uri="http://schemas.openxmlformats.org/drawingml/2006/picture">
                <pic:pic>
                  <pic:nvPicPr>
                    <pic:cNvPr descr="../figures_main/figure_1_kitchen_cognition_pathway.png" id="22" name="Picture"/>
                    <pic:cNvPicPr>
                      <a:picLocks noChangeArrowheads="1" noChangeAspect="1"/>
                    </pic:cNvPicPr>
                  </pic:nvPicPr>
                  <pic:blipFill>
                    <a:blip r:embed="rId20"/>
                    <a:stretch>
                      <a:fillRect/>
                    </a:stretch>
                  </pic:blipFill>
                  <pic:spPr bwMode="auto">
                    <a:xfrm>
                      <a:off x="0" y="0"/>
                      <a:ext cx="5334000" cy="3888622"/>
                    </a:xfrm>
                    <a:prstGeom prst="rect">
                      <a:avLst/>
                    </a:prstGeom>
                    <a:noFill/>
                    <a:ln w="9525">
                      <a:noFill/>
                      <a:headEnd/>
                      <a:tailEnd/>
                    </a:ln>
                  </pic:spPr>
                </pic:pic>
              </a:graphicData>
            </a:graphic>
          </wp:inline>
        </w:drawing>
      </w:r>
    </w:p>
    <w:p>
      <w:pPr>
        <w:pStyle w:val="ImageCaption"/>
      </w:pPr>
      <w:r>
        <w:t xml:space="preserve">Figure 1. Two-panel overview of the Sentinel Firewall logic. Panel A shows the core pathway from safe-product substitution to lower maternal and child blood lead, higher child IQ and higher lifetime earnings. Panel B shows the implementation chain that attenuates realized population effects.</w:t>
      </w:r>
    </w:p>
    <w:p>
      <w:pPr>
        <w:pStyle w:val="BlockText"/>
      </w:pPr>
      <w:r>
        <w:t xml:space="preserve">Note: IQ gains depend on the size, duration and developmental timing</w:t>
      </w:r>
      <w:r>
        <w:t xml:space="preserve"> </w:t>
      </w:r>
      <w:r>
        <w:t xml:space="preserve">of fetal and child BLL reductions. Safe pots and calcium can lower</w:t>
      </w:r>
      <w:r>
        <w:t xml:space="preserve"> </w:t>
      </w:r>
      <w:r>
        <w:t xml:space="preserve">maternal BLL during pregnancy and lactation, reducing fetal and</w:t>
      </w:r>
      <w:r>
        <w:t xml:space="preserve"> </w:t>
      </w:r>
      <w:r>
        <w:t xml:space="preserve">breastmilk-mediated infant exposure. Safe pots and child utensils can</w:t>
      </w:r>
      <w:r>
        <w:t xml:space="preserve"> </w:t>
      </w:r>
      <w:r>
        <w:t xml:space="preserve">also reduce postnatal exposure once complementary feeding begins.</w:t>
      </w:r>
    </w:p>
    <w:p>
      <w:pPr>
        <w:pStyle w:val="FirstParagraph"/>
      </w:pPr>
      <w:r>
        <w:t xml:space="preserve">The primary economic channel is child cognition. For each simulated</w:t>
      </w:r>
      <w:r>
        <w:t xml:space="preserve"> </w:t>
      </w:r>
      <w:r>
        <w:t xml:space="preserve">mother-child pair, we estimate the present value of lifetime earnings</w:t>
      </w:r>
      <w:r>
        <w:t xml:space="preserve"> </w:t>
      </w:r>
      <w:r>
        <w:t xml:space="preserve">from birth using a market-labour productivity anchor equal to PPP GDP</w:t>
      </w:r>
      <w:r>
        <w:t xml:space="preserve"> </w:t>
      </w:r>
      <w:r>
        <w:t xml:space="preserve">per capita multiplied by labour’s share of national income, combined</w:t>
      </w:r>
      <w:r>
        <w:t xml:space="preserve"> </w:t>
      </w:r>
      <w:r>
        <w:t xml:space="preserve">with survival to adulthood and the end of working life, expected real</w:t>
      </w:r>
      <w:r>
        <w:t xml:space="preserve"> </w:t>
      </w:r>
      <w:r>
        <w:t xml:space="preserve">income growth and a social discount rate. This follows the social</w:t>
      </w:r>
      <w:r>
        <w:t xml:space="preserve"> </w:t>
      </w:r>
      <w:r>
        <w:t xml:space="preserve">benefit-cost tradition of valuing cognitive gains at their marginal</w:t>
      </w:r>
      <w:r>
        <w:t xml:space="preserve"> </w:t>
      </w:r>
      <w:r>
        <w:t xml:space="preserve">product rather than at observed wage rates, which would miss</w:t>
      </w:r>
      <w:r>
        <w:t xml:space="preserve"> </w:t>
      </w:r>
      <w:r>
        <w:t xml:space="preserve">own-account and informal production that remain important in the</w:t>
      </w:r>
      <w:r>
        <w:t xml:space="preserve"> </w:t>
      </w:r>
      <w:r>
        <w:t xml:space="preserve">settings modelled here. Household production, subsistence output not</w:t>
      </w:r>
      <w:r>
        <w:t xml:space="preserve"> </w:t>
      </w:r>
      <w:r>
        <w:t xml:space="preserve">captured in national accounts and the intrinsic value of cognition</w:t>
      </w:r>
      <w:r>
        <w:t xml:space="preserve"> </w:t>
      </w:r>
      <w:r>
        <w:t xml:space="preserve">beyond earnings are excluded, making this earnings channel conservative</w:t>
      </w:r>
      <w:r>
        <w:t xml:space="preserve"> </w:t>
      </w:r>
      <w:r>
        <w:t xml:space="preserve">on those dimensions.12-14 To reflect wide uncertainty across plausible</w:t>
      </w:r>
      <w:r>
        <w:t xml:space="preserve"> </w:t>
      </w:r>
      <w:r>
        <w:t xml:space="preserve">LMIC settings, these macroeconomic inputs are assigned ranges rather</w:t>
      </w:r>
      <w:r>
        <w:t xml:space="preserve"> </w:t>
      </w:r>
      <w:r>
        <w:t xml:space="preserve">than point values: PPP GDP per capita ranges from US$2000 to US$8000</w:t>
      </w:r>
      <w:r>
        <w:t xml:space="preserve"> </w:t>
      </w:r>
      <w:r>
        <w:t xml:space="preserve">with a mode of US$4000, the labour-share parameter ranges from 0.50 to</w:t>
      </w:r>
      <w:r>
        <w:t xml:space="preserve"> </w:t>
      </w:r>
      <w:r>
        <w:t xml:space="preserve">0.58 with a mode of 0.55, real productivity growth has a mode of 2%,</w:t>
      </w:r>
      <w:r>
        <w:t xml:space="preserve"> </w:t>
      </w:r>
      <w:r>
        <w:t xml:space="preserve">and the social discount rate has a mode of 3%.12-14</w:t>
      </w:r>
    </w:p>
    <w:p>
      <w:pPr>
        <w:pStyle w:val="BodyText"/>
      </w:pPr>
      <w:r>
        <w:t xml:space="preserve">We convert child blood lead reduction into IQ gain using a linear</w:t>
      </w:r>
      <w:r>
        <w:t xml:space="preserve"> </w:t>
      </w:r>
      <w:r>
        <w:t xml:space="preserve">parameter of 0.20-0.60 IQ points per 1 ug/dL reduction in</w:t>
      </w:r>
      <w:r>
        <w:t xml:space="preserve"> </w:t>
      </w:r>
      <w:r>
        <w:t xml:space="preserve">developmentally averaged child blood lead, with a mode of 0.35. This is</w:t>
      </w:r>
      <w:r>
        <w:t xml:space="preserve"> </w:t>
      </w:r>
      <w:r>
        <w:t xml:space="preserve">a practical approximation to a nonlinear literature showing cognitive</w:t>
      </w:r>
      <w:r>
        <w:t xml:space="preserve"> </w:t>
      </w:r>
      <w:r>
        <w:t xml:space="preserve">harm at blood lead levels below 10 ug/dL and larger marginal harm at</w:t>
      </w:r>
      <w:r>
        <w:t xml:space="preserve"> </w:t>
      </w:r>
      <w:r>
        <w:t xml:space="preserve">lower levels.15-18 A recent LMIC learning synthesis provides an</w:t>
      </w:r>
      <w:r>
        <w:t xml:space="preserve"> </w:t>
      </w:r>
      <w:r>
        <w:t xml:space="preserve">additional check that lead exposure is meaningfully associated with</w:t>
      </w:r>
      <w:r>
        <w:t xml:space="preserve"> </w:t>
      </w:r>
      <w:r>
        <w:t xml:space="preserve">lower learning outcomes in developing-country settings.19</w:t>
      </w:r>
    </w:p>
    <w:p>
      <w:pPr>
        <w:pStyle w:val="BodyText"/>
      </w:pPr>
      <w:r>
        <w:t xml:space="preserve">We map IQ gains into lifetime earnings using an LMIC-centred return of</w:t>
      </w:r>
      <w:r>
        <w:t xml:space="preserve"> </w:t>
      </w:r>
      <w:r>
        <w:t xml:space="preserve">0.0030-0.0100 per IQ point, with a mode of 0.0050. This range is</w:t>
      </w:r>
      <w:r>
        <w:t xml:space="preserve"> </w:t>
      </w:r>
      <w:r>
        <w:t xml:space="preserve">intended to be policy-conservative: the lower bound allows for</w:t>
      </w:r>
      <w:r>
        <w:t xml:space="preserve"> </w:t>
      </w:r>
      <w:r>
        <w:t xml:space="preserve">substantial labour-market friction in subsistence-heavy settings, the</w:t>
      </w:r>
      <w:r>
        <w:t xml:space="preserve"> </w:t>
      </w:r>
      <w:r>
        <w:t xml:space="preserve">mode uses the lower end of lead valuation estimates, and the upper</w:t>
      </w:r>
      <w:r>
        <w:t xml:space="preserve"> </w:t>
      </w:r>
      <w:r>
        <w:t xml:space="preserve">bound is aligned with developing-country cognitive-skill estimates</w:t>
      </w:r>
      <w:r>
        <w:t xml:space="preserve"> </w:t>
      </w:r>
      <w:r>
        <w:t xml:space="preserve">while avoiding higher US-based values.20-23</w:t>
      </w:r>
    </w:p>
    <w:p>
      <w:pPr>
        <w:pStyle w:val="BodyText"/>
      </w:pPr>
      <w:r>
        <w:t xml:space="preserve">The model distinguishes direct child lead reductions from prenatal</w:t>
      </w:r>
      <w:r>
        <w:t xml:space="preserve"> </w:t>
      </w:r>
      <w:r>
        <w:t xml:space="preserve">reductions mediated through the mother. In the Kitchen Package, the safe</w:t>
      </w:r>
      <w:r>
        <w:t xml:space="preserve"> </w:t>
      </w:r>
      <w:r>
        <w:t xml:space="preserve">pot and safe utensils reduce direct child exposure, while the safe pot</w:t>
      </w:r>
      <w:r>
        <w:t xml:space="preserve"> </w:t>
      </w:r>
      <w:r>
        <w:t xml:space="preserve">and calcium reduce maternal blood lead during pregnancy. In the Kohl</w:t>
      </w:r>
      <w:r>
        <w:t xml:space="preserve"> </w:t>
      </w:r>
      <w:r>
        <w:t xml:space="preserve">Package, maternal kohl affects prenatal exposure and infant kohl affects</w:t>
      </w:r>
      <w:r>
        <w:t xml:space="preserve"> </w:t>
      </w:r>
      <w:r>
        <w:t xml:space="preserve">direct child exposure after birth. To reflect placental transfer,</w:t>
      </w:r>
      <w:r>
        <w:t xml:space="preserve"> </w:t>
      </w:r>
      <w:r>
        <w:t xml:space="preserve">maternal blood lead reductions during pregnancy are converted into fetal</w:t>
      </w:r>
      <w:r>
        <w:t xml:space="preserve"> </w:t>
      </w:r>
      <w:r>
        <w:t xml:space="preserve">lead reductions using a fetal-transfer parameter with a mode of 0.80.</w:t>
      </w:r>
      <w:r>
        <w:t xml:space="preserve"> </w:t>
      </w:r>
      <w:r>
        <w:t xml:space="preserve">The parameter is motivated by the strong relationship between maternal</w:t>
      </w:r>
      <w:r>
        <w:t xml:space="preserve"> </w:t>
      </w:r>
      <w:r>
        <w:t xml:space="preserve">and cord blood lead and by evidence that reducing maternal blood lead</w:t>
      </w:r>
      <w:r>
        <w:t xml:space="preserve"> </w:t>
      </w:r>
      <w:r>
        <w:t xml:space="preserve">during pregnancy can lower fetal exposure.2,8,24,25</w:t>
      </w:r>
    </w:p>
    <w:p>
      <w:pPr>
        <w:pStyle w:val="BodyText"/>
      </w:pPr>
      <w:r>
        <w:t xml:space="preserve">The cognition model does not treat a short prenatal or one-year infant</w:t>
      </w:r>
      <w:r>
        <w:t xml:space="preserve"> </w:t>
      </w:r>
      <w:r>
        <w:t xml:space="preserve">intervention as if it reduced average blood lead by the same amount</w:t>
      </w:r>
      <w:r>
        <w:t xml:space="preserve"> </w:t>
      </w:r>
      <w:r>
        <w:t xml:space="preserve">across all formative years. Instead, it assigns explicit developmental</w:t>
      </w:r>
      <w:r>
        <w:t xml:space="preserve"> </w:t>
      </w:r>
      <w:r>
        <w:t xml:space="preserve">shares that sum to one: 20%-40% of cognitive harm in the last four</w:t>
      </w:r>
      <w:r>
        <w:t xml:space="preserve"> </w:t>
      </w:r>
      <w:r>
        <w:t xml:space="preserve">months in utero, with a mode of 30%; 20%-40% in year 1, with a mode of</w:t>
      </w:r>
      <w:r>
        <w:t xml:space="preserve"> </w:t>
      </w:r>
      <w:r>
        <w:t xml:space="preserve">30%; and the remaining 30%-60% in years 2-5, with a mode of 40%. This</w:t>
      </w:r>
      <w:r>
        <w:t xml:space="preserve"> </w:t>
      </w:r>
      <w:r>
        <w:t xml:space="preserve">timing adjustment is motivated by evidence linking cognition to</w:t>
      </w:r>
      <w:r>
        <w:t xml:space="preserve"> </w:t>
      </w:r>
      <w:r>
        <w:t xml:space="preserve">prenatal, infancy and repeated early-childhood exposure histories rather</w:t>
      </w:r>
      <w:r>
        <w:t xml:space="preserve"> </w:t>
      </w:r>
      <w:r>
        <w:t xml:space="preserve">than to a single brief exposure interval.17,18,26</w:t>
      </w:r>
    </w:p>
    <w:p>
      <w:pPr>
        <w:pStyle w:val="BodyText"/>
      </w:pPr>
      <w:r>
        <w:t xml:space="preserve">The most influential biological efficacy inputs are deliberately</w:t>
      </w:r>
      <w:r>
        <w:t xml:space="preserve"> </w:t>
      </w:r>
      <w:r>
        <w:t xml:space="preserve">assigned wide ranges when the literature is indirect. Among households</w:t>
      </w:r>
      <w:r>
        <w:t xml:space="preserve"> </w:t>
      </w:r>
      <w:r>
        <w:t xml:space="preserve">that use hazardous cookware and then switch fully to the safe pot for</w:t>
      </w:r>
      <w:r>
        <w:t xml:space="preserve"> </w:t>
      </w:r>
      <w:r>
        <w:t xml:space="preserve">food consumed by the pregnant woman or young child, the postnatal child</w:t>
      </w:r>
      <w:r>
        <w:t xml:space="preserve"> </w:t>
      </w:r>
      <w:r>
        <w:t xml:space="preserve">BLL reduction is modelled as 2-8 ug/dL, with a mode of 5. A full</w:t>
      </w:r>
      <w:r>
        <w:t xml:space="preserve"> </w:t>
      </w:r>
      <w:r>
        <w:t xml:space="preserve">switch means that the household starts with the unsafe product, receives</w:t>
      </w:r>
      <w:r>
        <w:t xml:space="preserve"> </w:t>
      </w:r>
      <w:r>
        <w:t xml:space="preserve">or redeems the safer substitute, and uses the safe product for the</w:t>
      </w:r>
      <w:r>
        <w:t xml:space="preserve"> </w:t>
      </w:r>
      <w:r>
        <w:t xml:space="preserve">target user without enough continued unsafe-product use to preserve the</w:t>
      </w:r>
      <w:r>
        <w:t xml:space="preserve"> </w:t>
      </w:r>
      <w:r>
        <w:t xml:space="preserve">original exposure pathway. The cookware child parameter is defined as</w:t>
      </w:r>
      <w:r>
        <w:t xml:space="preserve"> </w:t>
      </w:r>
      <w:r>
        <w:t xml:space="preserve">the postnatal child effect only; any prenatal child benefit from lower</w:t>
      </w:r>
      <w:r>
        <w:t xml:space="preserve"> </w:t>
      </w:r>
      <w:r>
        <w:t xml:space="preserve">maternal lead is modelled separately through the maternal pot pathway</w:t>
      </w:r>
      <w:r>
        <w:t xml:space="preserve"> </w:t>
      </w:r>
      <w:r>
        <w:t xml:space="preserve">and fetal transfer. The calcium parameter is anchored more tightly</w:t>
      </w:r>
      <w:r>
        <w:t xml:space="preserve"> </w:t>
      </w:r>
      <w:r>
        <w:t xml:space="preserve">because it is informed by a randomised trial in pregnancy: 0.5-2 ug/dL,</w:t>
      </w:r>
      <w:r>
        <w:t xml:space="preserve"> </w:t>
      </w:r>
      <w:r>
        <w:t xml:space="preserve">with a mode of 1.2.8</w:t>
      </w:r>
    </w:p>
    <w:p>
      <w:pPr>
        <w:pStyle w:val="BodyText"/>
      </w:pPr>
      <w:r>
        <w:t xml:space="preserve">We model multiple imperfections in implementation. For calcium, maternal</w:t>
      </w:r>
      <w:r>
        <w:t xml:space="preserve"> </w:t>
      </w:r>
      <w:r>
        <w:t xml:space="preserve">kohl, infant kohl and child utensils, realised benefit depends on</w:t>
      </w:r>
      <w:r>
        <w:t xml:space="preserve"> </w:t>
      </w:r>
      <w:r>
        <w:t xml:space="preserve">baseline use of the hazardous product where relevant, attendance at the</w:t>
      </w:r>
      <w:r>
        <w:t xml:space="preserve"> </w:t>
      </w:r>
      <w:r>
        <w:t xml:space="preserve">relevant health contact, fidelity of the health system in delivering</w:t>
      </w:r>
      <w:r>
        <w:t xml:space="preserve"> </w:t>
      </w:r>
      <w:r>
        <w:t xml:space="preserve">both the safe product and counselling, and sustained use. For the pot,</w:t>
      </w:r>
      <w:r>
        <w:t xml:space="preserve"> </w:t>
      </w:r>
      <w:r>
        <w:t xml:space="preserve">we model a longer voucher chain in which the health care system must</w:t>
      </w:r>
      <w:r>
        <w:t xml:space="preserve"> </w:t>
      </w:r>
      <w:r>
        <w:t xml:space="preserve">issue the voucher, a participating merchant must have stock, the woman</w:t>
      </w:r>
      <w:r>
        <w:t xml:space="preserve"> </w:t>
      </w:r>
      <w:r>
        <w:t xml:space="preserve">must redeem the voucher and the new pot (but not the old) must then be</w:t>
      </w:r>
      <w:r>
        <w:t xml:space="preserve"> </w:t>
      </w:r>
      <w:r>
        <w:t xml:space="preserve">used for food consumed by the pregnant woman or toddler. Conditional on</w:t>
      </w:r>
      <w:r>
        <w:t xml:space="preserve"> </w:t>
      </w:r>
      <w:r>
        <w:t xml:space="preserve">redeeming a voucher for a valuable durable good, use by the pregnant</w:t>
      </w:r>
      <w:r>
        <w:t xml:space="preserve"> </w:t>
      </w:r>
      <w:r>
        <w:t xml:space="preserve">woman or toddler may be high because redemption itself is effortful and</w:t>
      </w:r>
      <w:r>
        <w:t xml:space="preserve"> </w:t>
      </w:r>
      <w:r>
        <w:t xml:space="preserve">self-targeting.27 The main concern is therefore non-exclusive use rather</w:t>
      </w:r>
      <w:r>
        <w:t xml:space="preserve"> </w:t>
      </w:r>
      <w:r>
        <w:t xml:space="preserve">than simple non-use: households may continue using the old unsafe pot</w:t>
      </w:r>
      <w:r>
        <w:t xml:space="preserve"> </w:t>
      </w:r>
      <w:r>
        <w:t xml:space="preserve">for some dishes or some family members even after redemption. Calcium is</w:t>
      </w:r>
      <w:r>
        <w:t xml:space="preserve"> </w:t>
      </w:r>
      <w:r>
        <w:t xml:space="preserve">different because the product is clinically familiar but adherence can</w:t>
      </w:r>
      <w:r>
        <w:t xml:space="preserve"> </w:t>
      </w:r>
      <w:r>
        <w:t xml:space="preserve">be undermined by pill burden, side effects, stock interruptions, or</w:t>
      </w:r>
      <w:r>
        <w:t xml:space="preserve"> </w:t>
      </w:r>
      <w:r>
        <w:t xml:space="preserve">weak counselling. Kohl is different again because adherence depends more</w:t>
      </w:r>
      <w:r>
        <w:t xml:space="preserve"> </w:t>
      </w:r>
      <w:r>
        <w:t xml:space="preserve">strongly on local culture and household authority: some caregivers may</w:t>
      </w:r>
      <w:r>
        <w:t xml:space="preserve"> </w:t>
      </w:r>
      <w:r>
        <w:t xml:space="preserve">welcome a safer substitute, while others may continue to trust</w:t>
      </w:r>
      <w:r>
        <w:t xml:space="preserve"> </w:t>
      </w:r>
      <w:r>
        <w:t xml:space="preserve">traditional galena-based products. We therefore include a residual-use</w:t>
      </w:r>
      <w:r>
        <w:t xml:space="preserve"> </w:t>
      </w:r>
      <w:r>
        <w:t xml:space="preserve">penalty for the pot and retain broad implementation uncertainty for the</w:t>
      </w:r>
      <w:r>
        <w:t xml:space="preserve"> </w:t>
      </w:r>
      <w:r>
        <w:t xml:space="preserve">other components.</w:t>
      </w:r>
    </w:p>
    <w:p>
      <w:pPr>
        <w:pStyle w:val="BodyText"/>
      </w:pPr>
      <w:r>
        <w:t xml:space="preserve">Multiplying modal values for targeting, health-care contact, delivery</w:t>
      </w:r>
      <w:r>
        <w:t xml:space="preserve"> </w:t>
      </w:r>
      <w:r>
        <w:t xml:space="preserve">fidelity, household adherence, voucher redemption and residual unsafe</w:t>
      </w:r>
      <w:r>
        <w:t xml:space="preserve"> </w:t>
      </w:r>
      <w:r>
        <w:t xml:space="preserve">use gives a simple sense of the implementation attenuation we assume.</w:t>
      </w:r>
      <w:r>
        <w:t xml:space="preserve"> </w:t>
      </w:r>
      <w:r>
        <w:t xml:space="preserve">The modal assumptions imply that only a small share of the full-switcher</w:t>
      </w:r>
      <w:r>
        <w:t xml:space="preserve"> </w:t>
      </w:r>
      <w:r>
        <w:t xml:space="preserve">biological benefit is realised at the population level: approximately</w:t>
      </w:r>
      <w:r>
        <w:t xml:space="preserve"> </w:t>
      </w:r>
      <w:r>
        <w:t xml:space="preserve">0.20 for the pot pathway, 0.14 for child utensils, 0.15 for maternal</w:t>
      </w:r>
      <w:r>
        <w:t xml:space="preserve"> </w:t>
      </w:r>
      <w:r>
        <w:t xml:space="preserve">kohl and 0.12 for infant kohl. These attenuations arise from realistic</w:t>
      </w:r>
      <w:r>
        <w:t xml:space="preserve"> </w:t>
      </w:r>
      <w:r>
        <w:t xml:space="preserve">losses at each step of the chain, not from any assumption that the</w:t>
      </w:r>
      <w:r>
        <w:t xml:space="preserve"> </w:t>
      </w:r>
      <w:r>
        <w:t xml:space="preserve">products are biologically ineffective once consistently used.</w:t>
      </w:r>
    </w:p>
    <w:p>
      <w:pPr>
        <w:pStyle w:val="BodyText"/>
      </w:pPr>
      <w:r>
        <w:t xml:space="preserve">Costs are tied to actual programme operations. Total programme cost per</w:t>
      </w:r>
      <w:r>
        <w:t xml:space="preserve"> </w:t>
      </w:r>
      <w:r>
        <w:t xml:space="preserve">mother-child pair includes a fully loaded share of national and</w:t>
      </w:r>
      <w:r>
        <w:t xml:space="preserve"> </w:t>
      </w:r>
      <w:r>
        <w:t xml:space="preserve">district-level overhead, modelled as fixed cost per birth = district</w:t>
      </w:r>
      <w:r>
        <w:t xml:space="preserve"> </w:t>
      </w:r>
      <w:r>
        <w:t xml:space="preserve">fixed cost/district births. We use a modal effective birth cohort of 20</w:t>
      </w:r>
      <w:r>
        <w:t xml:space="preserve"> </w:t>
      </w:r>
      <w:r>
        <w:t xml:space="preserve">000 per screening unit, reflecting a shared-service model in which X-ray</w:t>
      </w:r>
      <w:r>
        <w:t xml:space="preserve"> </w:t>
      </w:r>
      <w:r>
        <w:t xml:space="preserve">fluorescence equipment, training, supervision and market-screening</w:t>
      </w:r>
      <w:r>
        <w:t xml:space="preserve"> </w:t>
      </w:r>
      <w:r>
        <w:t xml:space="preserve">capacity can be used across multiple smaller districts rather than</w:t>
      </w:r>
      <w:r>
        <w:t xml:space="preserve"> </w:t>
      </w:r>
      <w:r>
        <w:t xml:space="preserve">purchased separately by each district. Variable costs include</w:t>
      </w:r>
      <w:r>
        <w:t xml:space="preserve"> </w:t>
      </w:r>
      <w:r>
        <w:t xml:space="preserve">counselling time, distribution costs, product costs and a programme</w:t>
      </w:r>
      <w:r>
        <w:t xml:space="preserve"> </w:t>
      </w:r>
      <w:r>
        <w:t xml:space="preserve">markup. Product and distribution costs fall when attendance or delivery</w:t>
      </w:r>
      <w:r>
        <w:t xml:space="preserve"> </w:t>
      </w:r>
      <w:r>
        <w:t xml:space="preserve">fails, but fixed surveillance and setup costs remain.</w:t>
      </w:r>
    </w:p>
    <w:bookmarkStart w:id="23" w:name="Xb291ceac89e03b131ad0f861ff5206fcfbc4cb7"/>
    <w:p>
      <w:pPr>
        <w:pStyle w:val="Heading2"/>
      </w:pPr>
      <w:r>
        <w:t xml:space="preserve">Maternal, neonatal and adult cardiovascular channels</w:t>
      </w:r>
    </w:p>
    <w:p>
      <w:pPr>
        <w:pStyle w:val="FirstParagraph"/>
      </w:pPr>
      <w:r>
        <w:t xml:space="preserve">Our primary economic endpoint is the present value of lifetime earnings</w:t>
      </w:r>
      <w:r>
        <w:t xml:space="preserve"> </w:t>
      </w:r>
      <w:r>
        <w:t xml:space="preserve">preserved through higher child cognitive ability. That approach is</w:t>
      </w:r>
      <w:r>
        <w:t xml:space="preserve"> </w:t>
      </w:r>
      <w:r>
        <w:t xml:space="preserve">transparent, but incomplete. Lead exposure also affects maternal health,</w:t>
      </w:r>
      <w:r>
        <w:t xml:space="preserve"> </w:t>
      </w:r>
      <w:r>
        <w:t xml:space="preserve">neonatal outcomes and adult cardiovascular disease.</w:t>
      </w:r>
    </w:p>
    <w:p>
      <w:pPr>
        <w:pStyle w:val="BodyText"/>
      </w:pPr>
      <w:r>
        <w:t xml:space="preserve">We model maternal and neonatal benefits through reduced pre-eclampsia</w:t>
      </w:r>
      <w:r>
        <w:t xml:space="preserve"> </w:t>
      </w:r>
      <w:r>
        <w:t xml:space="preserve">and preterm birth risk. These pathways operate through reductions in</w:t>
      </w:r>
      <w:r>
        <w:t xml:space="preserve"> </w:t>
      </w:r>
      <w:r>
        <w:t xml:space="preserve">maternal blood lead during pregnancy. The model starts with baseline</w:t>
      </w:r>
      <w:r>
        <w:t xml:space="preserve"> </w:t>
      </w:r>
      <w:r>
        <w:t xml:space="preserve">prevalence values for pre-eclampsia and preterm birth and applies odds</w:t>
      </w:r>
      <w:r>
        <w:t xml:space="preserve"> </w:t>
      </w:r>
      <w:r>
        <w:t xml:space="preserve">ratios per 1 ug/dL lead increase to estimate how much those risks fall</w:t>
      </w:r>
      <w:r>
        <w:t xml:space="preserve"> </w:t>
      </w:r>
      <w:r>
        <w:t xml:space="preserve">when maternal blood lead is reduced. Because the intervention begins</w:t>
      </w:r>
      <w:r>
        <w:t xml:space="preserve"> </w:t>
      </w:r>
      <w:r>
        <w:t xml:space="preserve">during pregnancy rather than before conception, the model scales</w:t>
      </w:r>
      <w:r>
        <w:t xml:space="preserve"> </w:t>
      </w:r>
      <w:r>
        <w:t xml:space="preserve">maternal BLL reduction by timing multipliers before applying the</w:t>
      </w:r>
      <w:r>
        <w:t xml:space="preserve"> </w:t>
      </w:r>
      <w:r>
        <w:t xml:space="preserve">pre-eclampsia and preterm equations. The resulting risk changes are</w:t>
      </w:r>
      <w:r>
        <w:t xml:space="preserve"> </w:t>
      </w:r>
      <w:r>
        <w:t xml:space="preserve">converted into monetised health gains using reduced-form</w:t>
      </w:r>
      <w:r>
        <w:t xml:space="preserve"> </w:t>
      </w:r>
      <w:r>
        <w:t xml:space="preserve">disability-adjusted life-year (DALY)-based parameters.28-33</w:t>
      </w:r>
    </w:p>
    <w:p>
      <w:pPr>
        <w:pStyle w:val="BodyText"/>
      </w:pPr>
      <w:r>
        <w:t xml:space="preserve">We also model adult cardiovascular benefits as a secondary extension</w:t>
      </w:r>
      <w:r>
        <w:t xml:space="preserve"> </w:t>
      </w:r>
      <w:r>
        <w:t xml:space="preserve">rather than as part of the core child-cognition case. In the Kitchen</w:t>
      </w:r>
      <w:r>
        <w:t xml:space="preserve"> </w:t>
      </w:r>
      <w:r>
        <w:t xml:space="preserve">Package, safer cookware can reduce exposure for the mother and, where</w:t>
      </w:r>
      <w:r>
        <w:t xml:space="preserve"> </w:t>
      </w:r>
      <w:r>
        <w:t xml:space="preserve">relevant, for co-resident grandparents. In the Kohl Package, reduced</w:t>
      </w:r>
      <w:r>
        <w:t xml:space="preserve"> </w:t>
      </w:r>
      <w:r>
        <w:t xml:space="preserve">maternal exposure from safe kohl affects the mother directly. We value</w:t>
      </w:r>
      <w:r>
        <w:t xml:space="preserve"> </w:t>
      </w:r>
      <w:r>
        <w:t xml:space="preserve">these gains using a DALY-based approach that combines an assumed</w:t>
      </w:r>
      <w:r>
        <w:t xml:space="preserve"> </w:t>
      </w:r>
      <w:r>
        <w:t xml:space="preserve">lifetime cardiovascular burden per sustained 1 ug/dL lead reduction with</w:t>
      </w:r>
      <w:r>
        <w:t xml:space="preserve"> </w:t>
      </w:r>
      <w:r>
        <w:t xml:space="preserve">a value of a statistical life year. Because cardiovascular benefits</w:t>
      </w:r>
      <w:r>
        <w:t xml:space="preserve"> </w:t>
      </w:r>
      <w:r>
        <w:t xml:space="preserve">occur later in life, they are discounted according to the assumed age of</w:t>
      </w:r>
      <w:r>
        <w:t xml:space="preserve"> </w:t>
      </w:r>
      <w:r>
        <w:t xml:space="preserve">the exposed adult at the time of intervention.34,35</w:t>
      </w:r>
    </w:p>
    <w:bookmarkEnd w:id="23"/>
    <w:bookmarkStart w:id="24" w:name="probabilistic-sensitivity-analysis"/>
    <w:p>
      <w:pPr>
        <w:pStyle w:val="Heading2"/>
      </w:pPr>
      <w:r>
        <w:t xml:space="preserve">Probabilistic sensitivity analysis</w:t>
      </w:r>
    </w:p>
    <w:p>
      <w:pPr>
        <w:pStyle w:val="FirstParagraph"/>
      </w:pPr>
      <w:r>
        <w:t xml:space="preserve">Almost all parameters in this model remain uncertain, including</w:t>
      </w:r>
      <w:r>
        <w:t xml:space="preserve"> </w:t>
      </w:r>
      <w:r>
        <w:t xml:space="preserve">product-specific blood lead reductions, implementation probabilities,</w:t>
      </w:r>
      <w:r>
        <w:t xml:space="preserve"> </w:t>
      </w:r>
      <w:r>
        <w:t xml:space="preserve">economic parameters and valuation of non-earnings health gains. We</w:t>
      </w:r>
      <w:r>
        <w:t xml:space="preserve"> </w:t>
      </w:r>
      <w:r>
        <w:t xml:space="preserve">therefore model uncertainty explicitly rather than presenting the</w:t>
      </w:r>
      <w:r>
        <w:t xml:space="preserve"> </w:t>
      </w:r>
      <w:r>
        <w:t xml:space="preserve">analysis as if it depended on a single preferred parameter set.</w:t>
      </w:r>
    </w:p>
    <w:p>
      <w:pPr>
        <w:pStyle w:val="BodyText"/>
      </w:pPr>
      <w:r>
        <w:t xml:space="preserve">For each uncertain parameter, we specify a minimum, modal and maximum</w:t>
      </w:r>
      <w:r>
        <w:t xml:space="preserve"> </w:t>
      </w:r>
      <w:r>
        <w:t xml:space="preserve">value and draw from a PERT distribution. This choice reflects the fact</w:t>
      </w:r>
      <w:r>
        <w:t xml:space="preserve"> </w:t>
      </w:r>
      <w:r>
        <w:t xml:space="preserve">that many inputs are only loosely bounded by the literature: we usually</w:t>
      </w:r>
      <w:r>
        <w:t xml:space="preserve"> </w:t>
      </w:r>
      <w:r>
        <w:t xml:space="preserve">have a preferred central estimate, but we do not observe a full</w:t>
      </w:r>
      <w:r>
        <w:t xml:space="preserve"> </w:t>
      </w:r>
      <w:r>
        <w:t xml:space="preserve">empirical sampling distribution for the policy context being modelled.</w:t>
      </w:r>
      <w:r>
        <w:t xml:space="preserve"> </w:t>
      </w:r>
      <w:r>
        <w:t xml:space="preserve">The simulation also includes modest positive dependence across several</w:t>
      </w:r>
      <w:r>
        <w:t xml:space="preserve"> </w:t>
      </w:r>
      <w:r>
        <w:t xml:space="preserve">implementation steps. In practice, attendance, product delivery, voucher</w:t>
      </w:r>
      <w:r>
        <w:t xml:space="preserve"> </w:t>
      </w:r>
      <w:r>
        <w:t xml:space="preserve">issuance, merchant stock, redemption and post-redemption use are</w:t>
      </w:r>
      <w:r>
        <w:t xml:space="preserve"> </w:t>
      </w:r>
      <w:r>
        <w:t xml:space="preserve">unlikely to fail independently. Some districts or facilities will</w:t>
      </w:r>
      <w:r>
        <w:t xml:space="preserve"> </w:t>
      </w:r>
      <w:r>
        <w:t xml:space="preserve">perform better across several links, while others will perform worse.</w:t>
      </w:r>
    </w:p>
    <w:p>
      <w:pPr>
        <w:pStyle w:val="BodyText"/>
      </w:pPr>
      <w:r>
        <w:t xml:space="preserve">The Python code exports trial-level data, summary tables, validation</w:t>
      </w:r>
      <w:r>
        <w:t xml:space="preserve"> </w:t>
      </w:r>
      <w:r>
        <w:t xml:space="preserve">checks and figures. Figure 2 compares the Kitchen and Kohl Package BCR</w:t>
      </w:r>
      <w:r>
        <w:t xml:space="preserve"> </w:t>
      </w:r>
      <w:r>
        <w:t xml:space="preserve">distributions. Supplementary figures show package-specific BCR</w:t>
      </w:r>
      <w:r>
        <w:t xml:space="preserve"> </w:t>
      </w:r>
      <w:r>
        <w:t xml:space="preserve">distributions and tornado diagrams identifying the parameters most</w:t>
      </w:r>
      <w:r>
        <w:t xml:space="preserve"> </w:t>
      </w:r>
      <w:r>
        <w:t xml:space="preserve">strongly associated with cognition-only BCRs.</w:t>
      </w:r>
    </w:p>
    <w:bookmarkEnd w:id="24"/>
    <w:bookmarkEnd w:id="25"/>
    <w:bookmarkStart w:id="30" w:name="results"/>
    <w:p>
      <w:pPr>
        <w:pStyle w:val="Heading1"/>
      </w:pPr>
      <w:r>
        <w:t xml:space="preserve">Results</w:t>
      </w:r>
    </w:p>
    <w:p>
      <w:pPr>
        <w:pStyle w:val="FirstParagraph"/>
      </w:pPr>
      <w:r>
        <w:t xml:space="preserve">The Kitchen Package is favourable in the baseline specification, though</w:t>
      </w:r>
      <w:r>
        <w:t xml:space="preserve"> </w:t>
      </w:r>
      <w:r>
        <w:t xml:space="preserve">with substantial uncertainty. The median earnings-only benefit-cost</w:t>
      </w:r>
      <w:r>
        <w:t xml:space="preserve"> </w:t>
      </w:r>
      <w:r>
        <w:t xml:space="preserve">ratio (BCR_Cog) was 5.60, with a 5th to 95th percentile range of 2.00 to</w:t>
      </w:r>
      <w:r>
        <w:t xml:space="preserve"> </w:t>
      </w:r>
      <w:r>
        <w:t xml:space="preserve">15.30; 0.30% of simulated runs fell below parity.</w:t>
      </w:r>
    </w:p>
    <w:p>
      <w:pPr>
        <w:pStyle w:val="BodyText"/>
      </w:pPr>
      <w:r>
        <w:t xml:space="preserve">The baseline Kitchen Package cost a median of US$15.24 per mother-child</w:t>
      </w:r>
      <w:r>
        <w:t xml:space="preserve"> </w:t>
      </w:r>
      <w:r>
        <w:t xml:space="preserve">pair. It reduced child blood lead by a median of 1.60 ug/dL across</w:t>
      </w:r>
      <w:r>
        <w:t xml:space="preserve"> </w:t>
      </w:r>
      <w:r>
        <w:t xml:space="preserve">pathways during the time the interventions were in use. The</w:t>
      </w:r>
      <w:r>
        <w:t xml:space="preserve"> </w:t>
      </w:r>
      <w:r>
        <w:t xml:space="preserve">population-level reduction is much lower than the modelled biological</w:t>
      </w:r>
      <w:r>
        <w:t xml:space="preserve"> </w:t>
      </w:r>
      <w:r>
        <w:t xml:space="preserve">effect for a household that starts with unsafe products and then</w:t>
      </w:r>
      <w:r>
        <w:t xml:space="preserve"> </w:t>
      </w:r>
      <w:r>
        <w:t xml:space="preserve">switches fully to safe replacements. The difference reflects imperfect</w:t>
      </w:r>
      <w:r>
        <w:t xml:space="preserve"> </w:t>
      </w:r>
      <w:r>
        <w:t xml:space="preserve">targeting, missed health contacts, imperfect health-system distribution,</w:t>
      </w:r>
      <w:r>
        <w:t xml:space="preserve"> </w:t>
      </w:r>
      <w:r>
        <w:t xml:space="preserve">incomplete adherence and residual unsafe-product use. In addition, most</w:t>
      </w:r>
      <w:r>
        <w:t xml:space="preserve"> </w:t>
      </w:r>
      <w:r>
        <w:t xml:space="preserve">new products affect only part of the developmentally important period</w:t>
      </w:r>
      <w:r>
        <w:t xml:space="preserve"> </w:t>
      </w:r>
      <w:r>
        <w:t xml:space="preserve">from late pregnancy through early childhood. After applying both</w:t>
      </w:r>
      <w:r>
        <w:t xml:space="preserve"> </w:t>
      </w:r>
      <w:r>
        <w:t xml:space="preserve">implementation and developmental-timing adjustments, the median</w:t>
      </w:r>
      <w:r>
        <w:t xml:space="preserve"> </w:t>
      </w:r>
      <w:r>
        <w:t xml:space="preserve">effective reduction used for IQ mapping was 0.72 ug/dL. The median IQ</w:t>
      </w:r>
      <w:r>
        <w:t xml:space="preserve"> </w:t>
      </w:r>
      <w:r>
        <w:t xml:space="preserve">gain was 0.26 points, and the median lifetime earnings gain was</w:t>
      </w:r>
      <w:r>
        <w:t xml:space="preserve"> </w:t>
      </w:r>
      <w:r>
        <w:t xml:space="preserve">US$85.34.</w:t>
      </w:r>
    </w:p>
    <w:p>
      <w:pPr>
        <w:pStyle w:val="BodyText"/>
      </w:pPr>
      <w:r>
        <w:t xml:space="preserve">When maternal and neonatal benefits were added, the median BCR rose to</w:t>
      </w:r>
      <w:r>
        <w:t xml:space="preserve"> </w:t>
      </w:r>
      <w:r>
        <w:t xml:space="preserve">5.82, with a 5th to 95th percentile range of 2.17 to 15.67; 0.17% of</w:t>
      </w:r>
      <w:r>
        <w:t xml:space="preserve"> </w:t>
      </w:r>
      <w:r>
        <w:t xml:space="preserve">runs fell below parity. Adding adult cardiovascular benefits as a</w:t>
      </w:r>
      <w:r>
        <w:t xml:space="preserve"> </w:t>
      </w:r>
      <w:r>
        <w:t xml:space="preserve">secondary extension increased the median total benefit-cost ratio to</w:t>
      </w:r>
      <w:r>
        <w:t xml:space="preserve"> </w:t>
      </w:r>
      <w:r>
        <w:t xml:space="preserve">6.73, with a 5th to 95th percentile range of 2.62 to 17.35; 0.05% of</w:t>
      </w:r>
      <w:r>
        <w:t xml:space="preserve"> </w:t>
      </w:r>
      <w:r>
        <w:t xml:space="preserve">runs fell below parity.</w:t>
      </w:r>
    </w:p>
    <w:p>
      <w:pPr>
        <w:pStyle w:val="BodyText"/>
      </w:pPr>
      <w:r>
        <w:t xml:space="preserve">The Kohl Package also appears socially cost-effective, but the case is less</w:t>
      </w:r>
      <w:r>
        <w:t xml:space="preserve"> </w:t>
      </w:r>
      <w:r>
        <w:t xml:space="preserve">robust than for the Kitchen Package. In the baseline analysis</w:t>
      </w:r>
      <w:r>
        <w:t xml:space="preserve"> </w:t>
      </w:r>
      <w:r>
        <w:t xml:space="preserve">incorporating only the cognitive pathway, the median benefit-cost ratio</w:t>
      </w:r>
      <w:r>
        <w:t xml:space="preserve"> </w:t>
      </w:r>
      <w:r>
        <w:t xml:space="preserve">was 5.89, with a 5th to 95th percentile range of 1.83 to 17.17; 0.62% of</w:t>
      </w:r>
      <w:r>
        <w:t xml:space="preserve"> </w:t>
      </w:r>
      <w:r>
        <w:t xml:space="preserve">runs fell below parity.</w:t>
      </w:r>
    </w:p>
    <w:p>
      <w:pPr>
        <w:pStyle w:val="BodyText"/>
      </w:pPr>
      <w:r>
        <w:t xml:space="preserve">The baseline Kohl Package cost a median of US$5.72 per mother-child</w:t>
      </w:r>
      <w:r>
        <w:t xml:space="preserve"> </w:t>
      </w:r>
      <w:r>
        <w:t xml:space="preserve">pair. It reduced child blood lead by a median of 1.01 ug/dL during the</w:t>
      </w:r>
      <w:r>
        <w:t xml:space="preserve"> </w:t>
      </w:r>
      <w:r>
        <w:t xml:space="preserve">time the intervention was in use. Because maternal and infant kohl</w:t>
      </w:r>
      <w:r>
        <w:t xml:space="preserve"> </w:t>
      </w:r>
      <w:r>
        <w:t xml:space="preserve">substitution affects a shorter portion of the developmental window, and</w:t>
      </w:r>
      <w:r>
        <w:t xml:space="preserve"> </w:t>
      </w:r>
      <w:r>
        <w:t xml:space="preserve">because the population estimate includes imperfect targeting and</w:t>
      </w:r>
      <w:r>
        <w:t xml:space="preserve"> </w:t>
      </w:r>
      <w:r>
        <w:t xml:space="preserve">delivery frictions, the developmentally weighted reduction used for IQ</w:t>
      </w:r>
      <w:r>
        <w:t xml:space="preserve"> </w:t>
      </w:r>
      <w:r>
        <w:t xml:space="preserve">mapping was 0.29 ug/dL. The median IQ gain was 0.11 points. The</w:t>
      </w:r>
      <w:r>
        <w:t xml:space="preserve"> </w:t>
      </w:r>
      <w:r>
        <w:t xml:space="preserve">corresponding median present value of lifetime earnings gain was</w:t>
      </w:r>
      <w:r>
        <w:t xml:space="preserve"> </w:t>
      </w:r>
      <w:r>
        <w:t xml:space="preserve">US$34.19.</w:t>
      </w:r>
    </w:p>
    <w:p>
      <w:pPr>
        <w:pStyle w:val="CaptionedFigure"/>
      </w:pPr>
      <w:r>
        <w:drawing>
          <wp:inline>
            <wp:extent cx="5334000" cy="3333750"/>
            <wp:effectExtent b="0" l="0" r="0" t="0"/>
            <wp:docPr descr="Figure 2. Probabilistic sensitivity analysis of the Kitchen and Kohl packages. Distribution of cognition-channel benefit-cost ratios from 10 000 Monte Carlo draws, with dashed lines marking parity and the package medians." title="" id="27" name="Picture"/>
            <a:graphic>
              <a:graphicData uri="http://schemas.openxmlformats.org/drawingml/2006/picture">
                <pic:pic>
                  <pic:nvPicPr>
                    <pic:cNvPr descr="../figures_main/figure_2_bcr_distribution.png" id="28" name="Picture"/>
                    <pic:cNvPicPr>
                      <a:picLocks noChangeArrowheads="1" noChangeAspect="1"/>
                    </pic:cNvPicPr>
                  </pic:nvPicPr>
                  <pic:blipFill>
                    <a:blip r:embed="rId26"/>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2. Probabilistic sensitivity analysis of the Kitchen and Kohl packages. Distribution of cognition-channel benefit-cost ratios from 10 000 Monte Carlo draws, with dashed lines marking parity and the package medians.</w:t>
      </w:r>
    </w:p>
    <w:p>
      <w:pPr>
        <w:pStyle w:val="BodyText"/>
      </w:pPr>
      <w:r>
        <w:t xml:space="preserve">Including maternal and neonatal benefits increased the median</w:t>
      </w:r>
      <w:r>
        <w:t xml:space="preserve"> </w:t>
      </w:r>
      <w:r>
        <w:t xml:space="preserve">benefit-cost ratio to 6.22, with a 5th to 95th percentile range of 2.00</w:t>
      </w:r>
      <w:r>
        <w:t xml:space="preserve"> </w:t>
      </w:r>
      <w:r>
        <w:t xml:space="preserve">to 17.65; 0.36% of runs fell below parity. Adding adult cardiovascular</w:t>
      </w:r>
      <w:r>
        <w:t xml:space="preserve"> </w:t>
      </w:r>
      <w:r>
        <w:t xml:space="preserve">benefits as a secondary extension increased the median total</w:t>
      </w:r>
      <w:r>
        <w:t xml:space="preserve"> </w:t>
      </w:r>
      <w:r>
        <w:t xml:space="preserve">benefit-cost ratio to 6.49, with a 5th to 95th percentile range of 2.12</w:t>
      </w:r>
      <w:r>
        <w:t xml:space="preserve"> </w:t>
      </w:r>
      <w:r>
        <w:t xml:space="preserve">to 18.14; 0.27% of runs fell below parity.</w:t>
      </w:r>
    </w:p>
    <w:bookmarkStart w:id="29" w:name="robustness-checks"/>
    <w:p>
      <w:pPr>
        <w:pStyle w:val="Heading2"/>
      </w:pPr>
      <w:r>
        <w:t xml:space="preserve">Robustness checks</w:t>
      </w:r>
    </w:p>
    <w:p>
      <w:pPr>
        <w:pStyle w:val="FirstParagraph"/>
      </w:pPr>
      <w:r>
        <w:t xml:space="preserve">We examined three robustness checks. First, the baseline CVD</w:t>
      </w:r>
      <w:r>
        <w:t xml:space="preserve"> </w:t>
      </w:r>
      <w:r>
        <w:t xml:space="preserve">specification assumes that adult health gains come only from directly</w:t>
      </w:r>
      <w:r>
        <w:t xml:space="preserve"> </w:t>
      </w:r>
      <w:r>
        <w:t xml:space="preserve">modelled target users: the mother and, in the Kitchen Package, a</w:t>
      </w:r>
      <w:r>
        <w:t xml:space="preserve"> </w:t>
      </w:r>
      <w:r>
        <w:t xml:space="preserve">probabilistically weighted co-resident grandparent. If half of recipient</w:t>
      </w:r>
      <w:r>
        <w:t xml:space="preserve"> </w:t>
      </w:r>
      <w:r>
        <w:t xml:space="preserve">households extend safe-product substitution to one additional adult</w:t>
      </w:r>
      <w:r>
        <w:t xml:space="preserve"> </w:t>
      </w:r>
      <w:r>
        <w:t xml:space="preserve">household member, the mode-based adult CVD benefit rises by about 23% in</w:t>
      </w:r>
      <w:r>
        <w:t xml:space="preserve"> </w:t>
      </w:r>
      <w:r>
        <w:t xml:space="preserve">the Kitchen Package and by about 50% in the Kohl Package.</w:t>
      </w:r>
    </w:p>
    <w:p>
      <w:pPr>
        <w:pStyle w:val="BodyText"/>
      </w:pPr>
      <w:r>
        <w:t xml:space="preserve">Second, we re-estimated the cognition pathway using a nonlinear log-BLL</w:t>
      </w:r>
      <w:r>
        <w:t xml:space="preserve"> </w:t>
      </w:r>
      <w:r>
        <w:t xml:space="preserve">dose-response. Under a Crump-style specification with beta = 3.246,</w:t>
      </w:r>
      <w:r>
        <w:t xml:space="preserve"> </w:t>
      </w:r>
      <w:r>
        <w:t xml:space="preserve">reducing BLL from 12 to 7 ug/dL implies an IQ gain of about 1.58 points,</w:t>
      </w:r>
      <w:r>
        <w:t xml:space="preserve"> </w:t>
      </w:r>
      <w:r>
        <w:t xml:space="preserve">whereas reducing BLL from 7 to 2 ug/dL implies about 3.18 points. The</w:t>
      </w:r>
      <w:r>
        <w:t xml:space="preserve"> </w:t>
      </w:r>
      <w:r>
        <w:t xml:space="preserve">nonlinear specification therefore gives larger gains when the</w:t>
      </w:r>
      <w:r>
        <w:t xml:space="preserve"> </w:t>
      </w:r>
      <w:r>
        <w:t xml:space="preserve">intervention removes a larger share of total lead exposure and moves</w:t>
      </w:r>
      <w:r>
        <w:t xml:space="preserve"> </w:t>
      </w:r>
      <w:r>
        <w:t xml:space="preserve">children into the lower-BLL range where marginal cognitive harm appears</w:t>
      </w:r>
      <w:r>
        <w:t xml:space="preserve"> </w:t>
      </w:r>
      <w:r>
        <w:t xml:space="preserve">steeper.</w:t>
      </w:r>
    </w:p>
    <w:p>
      <w:pPr>
        <w:pStyle w:val="BodyText"/>
      </w:pPr>
      <w:r>
        <w:t xml:space="preserve">Third, we examined alternative background exposure settings. Holding</w:t>
      </w:r>
      <w:r>
        <w:t xml:space="preserve"> </w:t>
      </w:r>
      <w:r>
        <w:t xml:space="preserve">package mechanics at modal values, a low-background scenario with</w:t>
      </w:r>
      <w:r>
        <w:t xml:space="preserve"> </w:t>
      </w:r>
      <w:r>
        <w:t xml:space="preserve">other-source BLL centred at roughly 3 ug/dL (SD 1.5) implies median</w:t>
      </w:r>
      <w:r>
        <w:t xml:space="preserve"> </w:t>
      </w:r>
      <w:r>
        <w:t xml:space="preserve">nonlinear IQ gains of about 0.60 for the Kitchen Package and 0.21 for</w:t>
      </w:r>
      <w:r>
        <w:t xml:space="preserve"> </w:t>
      </w:r>
      <w:r>
        <w:t xml:space="preserve">the Kohl Package. A higher-background scenario with other-source BLL</w:t>
      </w:r>
      <w:r>
        <w:t xml:space="preserve"> </w:t>
      </w:r>
      <w:r>
        <w:t xml:space="preserve">centred at roughly 7 ug/dL (SD 3.5) reduces those median gains to about</w:t>
      </w:r>
      <w:r>
        <w:t xml:space="preserve"> </w:t>
      </w:r>
      <w:r>
        <w:t xml:space="preserve">0.32 and 0.10, respectively. These checks imply that BCRs will be higher</w:t>
      </w:r>
      <w:r>
        <w:t xml:space="preserve"> </w:t>
      </w:r>
      <w:r>
        <w:t xml:space="preserve">where unsafe cookware or kohl account for a large share of total</w:t>
      </w:r>
      <w:r>
        <w:t xml:space="preserve"> </w:t>
      </w:r>
      <w:r>
        <w:t xml:space="preserve">exposure, and lower where many other sources remain uncontrolled.</w:t>
      </w:r>
    </w:p>
    <w:p>
      <w:pPr>
        <w:pStyle w:val="BodyText"/>
      </w:pPr>
      <w:r>
        <w:t xml:space="preserve">Finally, local kohl practice matters. The main analysis assumes</w:t>
      </w:r>
      <w:r>
        <w:t xml:space="preserve"> </w:t>
      </w:r>
      <w:r>
        <w:t xml:space="preserve">first-year kohl exposure can occur among boys and girls. If infant</w:t>
      </w:r>
      <w:r>
        <w:t xml:space="preserve"> </w:t>
      </w:r>
      <w:r>
        <w:t xml:space="preserve">substitution is restricted to girls while maternal kohl substitution</w:t>
      </w:r>
      <w:r>
        <w:t xml:space="preserve"> </w:t>
      </w:r>
      <w:r>
        <w:t xml:space="preserve">remains unchanged, the median cognition-only BCR is about 38% lower and</w:t>
      </w:r>
      <w:r>
        <w:t xml:space="preserve"> </w:t>
      </w:r>
      <w:r>
        <w:t xml:space="preserve">the median total BCR is about 32% lower than in the all-infants main</w:t>
      </w:r>
      <w:r>
        <w:t xml:space="preserve"> </w:t>
      </w:r>
      <w:r>
        <w:t xml:space="preserve">case. At the same time, in our simulation the fixed costs of the</w:t>
      </w:r>
      <w:r>
        <w:t xml:space="preserve"> </w:t>
      </w:r>
      <w:r>
        <w:t xml:space="preserve">sentinel package are a large share of the total cost. If kohl were</w:t>
      </w:r>
      <w:r>
        <w:t xml:space="preserve"> </w:t>
      </w:r>
      <w:r>
        <w:t xml:space="preserve">distributed alongside other commodities (e.g., as an addition to the</w:t>
      </w:r>
      <w:r>
        <w:t xml:space="preserve"> </w:t>
      </w:r>
      <w:r>
        <w:t xml:space="preserve">kitchen package) its costs would be cut almost in half, which almost</w:t>
      </w:r>
      <w:r>
        <w:t xml:space="preserve"> </w:t>
      </w:r>
      <w:r>
        <w:t xml:space="preserve">doubles its cost-effectiveness.</w:t>
      </w:r>
    </w:p>
    <w:bookmarkEnd w:id="29"/>
    <w:bookmarkEnd w:id="30"/>
    <w:bookmarkStart w:id="34" w:name="discussion"/>
    <w:p>
      <w:pPr>
        <w:pStyle w:val="Heading1"/>
      </w:pPr>
      <w:r>
        <w:t xml:space="preserve">Discussion</w:t>
      </w:r>
    </w:p>
    <w:bookmarkStart w:id="31" w:name="interpretation-and-implementation"/>
    <w:p>
      <w:pPr>
        <w:pStyle w:val="Heading2"/>
      </w:pPr>
      <w:r>
        <w:t xml:space="preserve">Interpretation and implementation</w:t>
      </w:r>
    </w:p>
    <w:p>
      <w:pPr>
        <w:pStyle w:val="FirstParagraph"/>
      </w:pPr>
      <w:r>
        <w:t xml:space="preserve">The model suggests a socially cost-effective case for the Kitchen Package and a</w:t>
      </w:r>
      <w:r>
        <w:t xml:space="preserve"> </w:t>
      </w:r>
      <w:r>
        <w:t xml:space="preserve">more assumption-sensitive case for the Kohl Package in targeted settings</w:t>
      </w:r>
      <w:r>
        <w:t xml:space="preserve"> </w:t>
      </w:r>
      <w:r>
        <w:t xml:space="preserve">where hazardous products are common. That result should be read as a</w:t>
      </w:r>
      <w:r>
        <w:t xml:space="preserve"> </w:t>
      </w:r>
      <w:r>
        <w:t xml:space="preserve">demonstration rather than a universal claim. Using plausible LMIC</w:t>
      </w:r>
      <w:r>
        <w:t xml:space="preserve"> </w:t>
      </w:r>
      <w:r>
        <w:t xml:space="preserve">economic values and plausible hotspot parameters, free or heavily</w:t>
      </w:r>
      <w:r>
        <w:t xml:space="preserve"> </w:t>
      </w:r>
      <w:r>
        <w:t xml:space="preserve">subsidised substitution can be socially cost-effective. Just as</w:t>
      </w:r>
      <w:r>
        <w:t xml:space="preserve"> </w:t>
      </w:r>
      <w:r>
        <w:t xml:space="preserve">important, the paper provides a tool for asking whether that remains</w:t>
      </w:r>
      <w:r>
        <w:t xml:space="preserve"> </w:t>
      </w:r>
      <w:r>
        <w:t xml:space="preserve">true in a particular district, region or country once local prevalence,</w:t>
      </w:r>
      <w:r>
        <w:t xml:space="preserve"> </w:t>
      </w:r>
      <w:r>
        <w:t xml:space="preserve">prices, delivery capacity and measured blood lead response are used</w:t>
      </w:r>
      <w:r>
        <w:t xml:space="preserve"> </w:t>
      </w:r>
      <w:r>
        <w:t xml:space="preserve">instead.</w:t>
      </w:r>
    </w:p>
    <w:p>
      <w:pPr>
        <w:pStyle w:val="BodyText"/>
      </w:pPr>
      <w:r>
        <w:t xml:space="preserve">The factors that matter most for local decisions are straightforward:</w:t>
      </w:r>
      <w:r>
        <w:t xml:space="preserve"> </w:t>
      </w:r>
      <w:r>
        <w:t xml:space="preserve">how common the hazardous product is, whether the relevant health contact</w:t>
      </w:r>
      <w:r>
        <w:t xml:space="preserve"> </w:t>
      </w:r>
      <w:r>
        <w:t xml:space="preserve">is reached, whether facilities and merchants have stock, whether</w:t>
      </w:r>
      <w:r>
        <w:t xml:space="preserve"> </w:t>
      </w:r>
      <w:r>
        <w:t xml:space="preserve">caregivers redeem and use the safer product, whether unsafe-product use</w:t>
      </w:r>
      <w:r>
        <w:t xml:space="preserve"> </w:t>
      </w:r>
      <w:r>
        <w:t xml:space="preserve">falls enough to change exposure materially, and how large the resulting</w:t>
      </w:r>
      <w:r>
        <w:t xml:space="preserve"> </w:t>
      </w:r>
      <w:r>
        <w:t xml:space="preserve">blood lead reduction is. In short, the central question for a ministry</w:t>
      </w:r>
      <w:r>
        <w:t xml:space="preserve"> </w:t>
      </w:r>
      <w:r>
        <w:t xml:space="preserve">or NGO is not whether the global model is exactly right, but whether</w:t>
      </w:r>
      <w:r>
        <w:t xml:space="preserve"> </w:t>
      </w:r>
      <w:r>
        <w:t xml:space="preserve">local conditions make substitution attractive in the setting under</w:t>
      </w:r>
      <w:r>
        <w:t xml:space="preserve"> </w:t>
      </w:r>
      <w:r>
        <w:t xml:space="preserve">consideration.</w:t>
      </w:r>
    </w:p>
    <w:p>
      <w:pPr>
        <w:pStyle w:val="BodyText"/>
      </w:pPr>
      <w:r>
        <w:t xml:space="preserve">The main practical implication is that implementation quality matters</w:t>
      </w:r>
      <w:r>
        <w:t xml:space="preserve"> </w:t>
      </w:r>
      <w:r>
        <w:t xml:space="preserve">enormously. The pot pathway can fail at several stages: voucher</w:t>
      </w:r>
      <w:r>
        <w:t xml:space="preserve"> </w:t>
      </w:r>
      <w:r>
        <w:t xml:space="preserve">issuance, merchant stock, redemption or residual continued use of unsafe</w:t>
      </w:r>
      <w:r>
        <w:t xml:space="preserve"> </w:t>
      </w:r>
      <w:r>
        <w:t xml:space="preserve">cookware. At the same time, not every step should be treated</w:t>
      </w:r>
      <w:r>
        <w:t xml:space="preserve"> </w:t>
      </w:r>
      <w:r>
        <w:t xml:space="preserve">pessimistically. Conditional on redeeming a voucher for a valuable</w:t>
      </w:r>
      <w:r>
        <w:t xml:space="preserve"> </w:t>
      </w:r>
      <w:r>
        <w:t xml:space="preserve">durable good, use by the pregnant woman or toddler may be high because</w:t>
      </w:r>
      <w:r>
        <w:t xml:space="preserve"> </w:t>
      </w:r>
      <w:r>
        <w:t xml:space="preserve">redemption itself is effortful and self-targeting.</w:t>
      </w:r>
    </w:p>
    <w:p>
      <w:pPr>
        <w:pStyle w:val="BodyText"/>
      </w:pPr>
      <w:r>
        <w:t xml:space="preserve">An important goal of this analysis is to make the assumptions, code and</w:t>
      </w:r>
      <w:r>
        <w:t xml:space="preserve"> </w:t>
      </w:r>
      <w:r>
        <w:t xml:space="preserve">uncertainty structure explicit enough that researchers and policymakers</w:t>
      </w:r>
      <w:r>
        <w:t xml:space="preserve"> </w:t>
      </w:r>
      <w:r>
        <w:t xml:space="preserve">in affected LMIC settings can adapt, challenge and improve the model</w:t>
      </w:r>
      <w:r>
        <w:t xml:space="preserve"> </w:t>
      </w:r>
      <w:r>
        <w:t xml:space="preserve">using local data. See the Data availability section for these resources.</w:t>
      </w:r>
      <w:r>
        <w:t xml:space="preserve"> </w:t>
      </w:r>
      <w:r>
        <w:t xml:space="preserve">The spreadsheet is deliberately simpler than the Python model: it allows</w:t>
      </w:r>
      <w:r>
        <w:t xml:space="preserve"> </w:t>
      </w:r>
      <w:r>
        <w:t xml:space="preserve">a ministry, NGO or research team to change the modal assumptions and</w:t>
      </w:r>
      <w:r>
        <w:t xml:space="preserve"> </w:t>
      </w:r>
      <w:r>
        <w:t xml:space="preserve">quickly see whether the substitution package remains attractive in its</w:t>
      </w:r>
      <w:r>
        <w:t xml:space="preserve"> </w:t>
      </w:r>
      <w:r>
        <w:t xml:space="preserve">own region. The Python code remains the full probabilistic model for</w:t>
      </w:r>
      <w:r>
        <w:t xml:space="preserve"> </w:t>
      </w:r>
      <w:r>
        <w:t xml:space="preserve">users who want to change ranges, correlations or trial-level outputs.</w:t>
      </w:r>
      <w:r>
        <w:t xml:space="preserve"> </w:t>
      </w:r>
      <w:r>
        <w:t xml:space="preserve">Exposure sources, cultural practices such as kohl use, safe-product</w:t>
      </w:r>
      <w:r>
        <w:t xml:space="preserve"> </w:t>
      </w:r>
      <w:r>
        <w:t xml:space="preserve">markets and implementation bottlenecks vary sharply across settings.</w:t>
      </w:r>
      <w:r>
        <w:t xml:space="preserve"> </w:t>
      </w:r>
      <w:r>
        <w:t xml:space="preserve">Thus, any pilot or implementation effort should be led with local</w:t>
      </w:r>
      <w:r>
        <w:t xml:space="preserve"> </w:t>
      </w:r>
      <w:r>
        <w:t xml:space="preserve">investigators, health-system actors and affected communities.</w:t>
      </w:r>
    </w:p>
    <w:p>
      <w:pPr>
        <w:pStyle w:val="BodyText"/>
      </w:pPr>
      <w:r>
        <w:t xml:space="preserve">Experience in Adjara, Georgia also suggests that ANC platforms can</w:t>
      </w:r>
      <w:r>
        <w:t xml:space="preserve"> </w:t>
      </w:r>
      <w:r>
        <w:t xml:space="preserve">support lead-related biomonitoring, counselling and follow-up.36 37 The</w:t>
      </w:r>
      <w:r>
        <w:t xml:space="preserve"> </w:t>
      </w:r>
      <w:r>
        <w:t xml:space="preserve">Sentinel Firewall addresses a different margin. Instead of relying on</w:t>
      </w:r>
      <w:r>
        <w:t xml:space="preserve"> </w:t>
      </w:r>
      <w:r>
        <w:t xml:space="preserve">universal individual testing and then providing mitigation only after an</w:t>
      </w:r>
      <w:r>
        <w:t xml:space="preserve"> </w:t>
      </w:r>
      <w:r>
        <w:t xml:space="preserve">elevated blood lead result, it considers universal safe-product</w:t>
      </w:r>
      <w:r>
        <w:t xml:space="preserve"> </w:t>
      </w:r>
      <w:r>
        <w:t xml:space="preserve">provision to the relevant target group within sentinel-identified</w:t>
      </w:r>
      <w:r>
        <w:t xml:space="preserve"> </w:t>
      </w:r>
      <w:r>
        <w:t xml:space="preserve">high-risk areas. Test-triggered provision can concentrate resources on</w:t>
      </w:r>
      <w:r>
        <w:t xml:space="preserve"> </w:t>
      </w:r>
      <w:r>
        <w:t xml:space="preserve">households with measured high BLL, but it adds testing and follow-up</w:t>
      </w:r>
      <w:r>
        <w:t xml:space="preserve"> </w:t>
      </w:r>
      <w:r>
        <w:t xml:space="preserve">costs and may miss households whose product-related exposure is current</w:t>
      </w:r>
      <w:r>
        <w:t xml:space="preserve"> </w:t>
      </w:r>
      <w:r>
        <w:t xml:space="preserve">or likely but not yet reflected in the measured biomarker. Sentinel-area</w:t>
      </w:r>
      <w:r>
        <w:t xml:space="preserve"> </w:t>
      </w:r>
      <w:r>
        <w:t xml:space="preserve">provision is less individually targeted, but may better protect</w:t>
      </w:r>
      <w:r>
        <w:t xml:space="preserve"> </w:t>
      </w:r>
      <w:r>
        <w:t xml:space="preserve">critical developmental windows when hazardous products are widespread</w:t>
      </w:r>
      <w:r>
        <w:t xml:space="preserve"> </w:t>
      </w:r>
      <w:r>
        <w:t xml:space="preserve">and safe substitutes are inexpensive. In practice, hybrid strategies</w:t>
      </w:r>
      <w:r>
        <w:t xml:space="preserve"> </w:t>
      </w:r>
      <w:r>
        <w:t xml:space="preserve">may be best, such as identifying high-risk districts through sentinel</w:t>
      </w:r>
      <w:r>
        <w:t xml:space="preserve"> </w:t>
      </w:r>
      <w:r>
        <w:t xml:space="preserve">surveillance and then combining rapid provision with selective</w:t>
      </w:r>
      <w:r>
        <w:t xml:space="preserve"> </w:t>
      </w:r>
      <w:r>
        <w:t xml:space="preserve">biomonitoring. Appendix section 13 formalises this trade-off.</w:t>
      </w:r>
    </w:p>
    <w:p>
      <w:pPr>
        <w:pStyle w:val="BodyText"/>
      </w:pPr>
      <w:r>
        <w:t xml:space="preserve">Early pilots can start in one subdistrict or sentinel-clinic catchment,</w:t>
      </w:r>
      <w:r>
        <w:t xml:space="preserve"> </w:t>
      </w:r>
      <w:r>
        <w:t xml:space="preserve">deploying one or two product categories, and measuring uptake and</w:t>
      </w:r>
      <w:r>
        <w:t xml:space="preserve"> </w:t>
      </w:r>
      <w:r>
        <w:t xml:space="preserve">sustained use. Three design details are especially useful for learning.</w:t>
      </w:r>
      <w:r>
        <w:t xml:space="preserve"> </w:t>
      </w:r>
      <w:r>
        <w:t xml:space="preserve">First, a removal bonus could offer a small supplemental good or</w:t>
      </w:r>
      <w:r>
        <w:t xml:space="preserve"> </w:t>
      </w:r>
      <w:r>
        <w:t xml:space="preserve">incentive when households surrender old hazardous products; this bonus</w:t>
      </w:r>
      <w:r>
        <w:t xml:space="preserve"> </w:t>
      </w:r>
      <w:r>
        <w:t xml:space="preserve">would reduce residual exposure and turn surrendered products into</w:t>
      </w:r>
      <w:r>
        <w:t xml:space="preserve"> </w:t>
      </w:r>
      <w:r>
        <w:t xml:space="preserve">enforcement intelligence about suppliers and product chains. Second,</w:t>
      </w:r>
      <w:r>
        <w:t xml:space="preserve"> </w:t>
      </w:r>
      <w:r>
        <w:t xml:space="preserve">community health workers could conduct randomised spot-checks during</w:t>
      </w:r>
      <w:r>
        <w:t xml:space="preserve"> </w:t>
      </w:r>
      <w:r>
        <w:t xml:space="preserve">neonatal or early-childhood home visits to observe whether safer</w:t>
      </w:r>
      <w:r>
        <w:t xml:space="preserve"> </w:t>
      </w:r>
      <w:r>
        <w:t xml:space="preserve">products are being used for the pregnant woman or young child. Third,</w:t>
      </w:r>
      <w:r>
        <w:t xml:space="preserve"> </w:t>
      </w:r>
      <w:r>
        <w:t xml:space="preserve">sentinel biomonitoring at a later infant visit, such as the 9-month</w:t>
      </w:r>
      <w:r>
        <w:t xml:space="preserve"> </w:t>
      </w:r>
      <w:r>
        <w:t xml:space="preserve">immunisation contact where feasible, could verify whether product</w:t>
      </w:r>
      <w:r>
        <w:t xml:space="preserve"> </w:t>
      </w:r>
      <w:r>
        <w:t xml:space="preserve">substitution is reducing blood lead.</w:t>
      </w:r>
    </w:p>
    <w:bookmarkEnd w:id="31"/>
    <w:bookmarkStart w:id="32" w:name="limitations"/>
    <w:p>
      <w:pPr>
        <w:pStyle w:val="Heading2"/>
      </w:pPr>
      <w:r>
        <w:t xml:space="preserve">Limitations</w:t>
      </w:r>
    </w:p>
    <w:p>
      <w:pPr>
        <w:pStyle w:val="FirstParagraph"/>
      </w:pPr>
      <w:r>
        <w:t xml:space="preserve">Several limitations remain. Some blood lead reduction parameters,</w:t>
      </w:r>
      <w:r>
        <w:t xml:space="preserve"> </w:t>
      </w:r>
      <w:r>
        <w:t xml:space="preserve">especially for utensils and kohl, remain informed extrapolations rather</w:t>
      </w:r>
      <w:r>
        <w:t xml:space="preserve"> </w:t>
      </w:r>
      <w:r>
        <w:t xml:space="preserve">than tightly estimated causal effects. Maternal and neonatal pathways</w:t>
      </w:r>
      <w:r>
        <w:t xml:space="preserve"> </w:t>
      </w:r>
      <w:r>
        <w:t xml:space="preserve">use reduced-form DALY multipliers rather than a full disease-course</w:t>
      </w:r>
      <w:r>
        <w:t xml:space="preserve"> </w:t>
      </w:r>
      <w:r>
        <w:t xml:space="preserve">model. The positive dependence structure across implementation steps is</w:t>
      </w:r>
      <w:r>
        <w:t xml:space="preserve"> </w:t>
      </w:r>
      <w:r>
        <w:t xml:space="preserve">stylised and may not fully capture the correlation structure of strong</w:t>
      </w:r>
      <w:r>
        <w:t xml:space="preserve"> </w:t>
      </w:r>
      <w:r>
        <w:t xml:space="preserve">and weak delivery environments. Kohl use varies by sex, age and local</w:t>
      </w:r>
      <w:r>
        <w:t xml:space="preserve"> </w:t>
      </w:r>
      <w:r>
        <w:t xml:space="preserve">practice. Finally, the model does not yet incorporate household-level</w:t>
      </w:r>
      <w:r>
        <w:t xml:space="preserve"> </w:t>
      </w:r>
      <w:r>
        <w:t xml:space="preserve">source correlation or a full source-apportionment model of baseline</w:t>
      </w:r>
      <w:r>
        <w:t xml:space="preserve"> </w:t>
      </w:r>
      <w:r>
        <w:t xml:space="preserve">blood lead.</w:t>
      </w:r>
    </w:p>
    <w:bookmarkEnd w:id="32"/>
    <w:bookmarkStart w:id="33" w:name="conclusion"/>
    <w:p>
      <w:pPr>
        <w:pStyle w:val="Heading2"/>
      </w:pPr>
      <w:r>
        <w:t xml:space="preserve">Conclusion</w:t>
      </w:r>
    </w:p>
    <w:p>
      <w:pPr>
        <w:pStyle w:val="FirstParagraph"/>
      </w:pPr>
      <w:r>
        <w:t xml:space="preserve">The model suggests that a programme to replace lead-containing goods with</w:t>
      </w:r>
      <w:r>
        <w:t xml:space="preserve"> </w:t>
      </w:r>
      <w:r>
        <w:t xml:space="preserve">safe pots, utensils, calcium and kohl can generate positive social</w:t>
      </w:r>
      <w:r>
        <w:t xml:space="preserve"> </w:t>
      </w:r>
      <w:r>
        <w:t xml:space="preserve">returns under a wide range of assumptions, if the substitution is</w:t>
      </w:r>
      <w:r>
        <w:t xml:space="preserve"> </w:t>
      </w:r>
      <w:r>
        <w:t xml:space="preserve">targeted to regions with high prevalence of the unsafe products. Equally</w:t>
      </w:r>
      <w:r>
        <w:t xml:space="preserve"> </w:t>
      </w:r>
      <w:r>
        <w:t xml:space="preserve">important, the analysis provides a reusable decision tool. The central</w:t>
      </w:r>
      <w:r>
        <w:t xml:space="preserve"> </w:t>
      </w:r>
      <w:r>
        <w:t xml:space="preserve">question for a ministry or NGO is not whether these exact illustrative</w:t>
      </w:r>
      <w:r>
        <w:t xml:space="preserve"> </w:t>
      </w:r>
      <w:r>
        <w:t xml:space="preserve">parameters apply everywhere, but whether local prevalence, prices,</w:t>
      </w:r>
      <w:r>
        <w:t xml:space="preserve"> </w:t>
      </w:r>
      <w:r>
        <w:t xml:space="preserve">delivery capacity and measured blood lead response make substitution</w:t>
      </w:r>
      <w:r>
        <w:t xml:space="preserve"> </w:t>
      </w:r>
      <w:r>
        <w:t xml:space="preserve">attractive in the specific region under consideration.</w:t>
      </w:r>
    </w:p>
    <w:p>
      <w:pPr>
        <w:pStyle w:val="BodyText"/>
      </w:pPr>
      <w:r>
        <w:t xml:space="preserve">The case for the Sentinel Firewall is not that it replaces regulation,</w:t>
      </w:r>
      <w:r>
        <w:t xml:space="preserve"> </w:t>
      </w:r>
      <w:r>
        <w:t xml:space="preserve">but that it offers governments a practical way to reduce harm</w:t>
      </w:r>
      <w:r>
        <w:t xml:space="preserve"> </w:t>
      </w:r>
      <w:r>
        <w:t xml:space="preserve">immediately while building the capacity and enforcement systems needed</w:t>
      </w:r>
      <w:r>
        <w:t xml:space="preserve"> </w:t>
      </w:r>
      <w:r>
        <w:t xml:space="preserve">to reduce sources of lead exposure. Demand-side substitution through</w:t>
      </w:r>
      <w:r>
        <w:t xml:space="preserve"> </w:t>
      </w:r>
      <w:r>
        <w:t xml:space="preserve">maternal and child health platforms is an emergency, transitional</w:t>
      </w:r>
      <w:r>
        <w:t xml:space="preserve"> </w:t>
      </w:r>
      <w:r>
        <w:t xml:space="preserve">response to a persistent and often informal exposure problem.</w:t>
      </w:r>
    </w:p>
    <w:bookmarkEnd w:id="33"/>
    <w:bookmarkEnd w:id="34"/>
    <w:bookmarkStart w:id="48" w:name="end-matter"/>
    <w:p>
      <w:pPr>
        <w:pStyle w:val="Heading1"/>
      </w:pPr>
      <w:r>
        <w:t xml:space="preserve">End matter</w:t>
      </w:r>
    </w:p>
    <w:bookmarkStart w:id="35" w:name="data-availability-statement"/>
    <w:p>
      <w:pPr>
        <w:pStyle w:val="Heading2"/>
      </w:pPr>
      <w:r>
        <w:t xml:space="preserve">Data availability statement</w:t>
      </w:r>
    </w:p>
    <w:p>
      <w:pPr>
        <w:pStyle w:val="FirstParagraph"/>
      </w:pPr>
      <w:r>
        <w:t xml:space="preserve">Data and code are available in a public, open access GitHub repository.</w:t>
      </w:r>
      <w:r>
        <w:t xml:space="preserve"> </w:t>
      </w:r>
      <w:r>
        <w:t xml:space="preserve">The full Python simulation, including Monte Carlo uncertainty, parameter</w:t>
      </w:r>
      <w:r>
        <w:t xml:space="preserve"> </w:t>
      </w:r>
      <w:r>
        <w:t xml:space="preserve">correlations, plots and trial-level exports, is available at</w:t>
      </w:r>
      <w:r>
        <w:t xml:space="preserve"> </w:t>
      </w:r>
      <w:r>
        <w:t xml:space="preserve">https://github.com/levine63/Sentinel-Firewall/blob/main/submission_package/public_code_and_data/sentinel_firewall_model.py.</w:t>
      </w:r>
      <w:r>
        <w:t xml:space="preserve"> </w:t>
      </w:r>
      <w:r>
        <w:t xml:space="preserve">A deterministic spreadsheet with editable modal parameter values and live</w:t>
      </w:r>
      <w:r>
        <w:t xml:space="preserve"> </w:t>
      </w:r>
      <w:r>
        <w:t xml:space="preserve">formulas is available at</w:t>
      </w:r>
      <w:r>
        <w:t xml:space="preserve"> </w:t>
      </w:r>
      <w:r>
        <w:t xml:space="preserve">https://github.com/levine63/Sentinel-Firewall/blob/main/submission_package/public_code_and_data/Simulating_sentinel_safe_products.xlsx.</w:t>
      </w:r>
      <w:r>
        <w:t xml:space="preserve"> </w:t>
      </w:r>
      <w:r>
        <w:t xml:space="preserve">The spreadsheet is designed for easier local adaptation; the Python code</w:t>
      </w:r>
      <w:r>
        <w:t xml:space="preserve"> </w:t>
      </w:r>
      <w:r>
        <w:t xml:space="preserve">remains the authoritative source for the probabilistic sensitivity</w:t>
      </w:r>
      <w:r>
        <w:t xml:space="preserve"> </w:t>
      </w:r>
      <w:r>
        <w:t xml:space="preserve">analysis.</w:t>
      </w:r>
    </w:p>
    <w:bookmarkEnd w:id="35"/>
    <w:bookmarkStart w:id="38" w:name="ethics-statements"/>
    <w:p>
      <w:pPr>
        <w:pStyle w:val="Heading2"/>
      </w:pPr>
      <w:r>
        <w:t xml:space="preserve">Ethics statements</w:t>
      </w:r>
    </w:p>
    <w:bookmarkStart w:id="36" w:name="patient-consent-for-publication"/>
    <w:p>
      <w:pPr>
        <w:pStyle w:val="Heading3"/>
      </w:pPr>
      <w:r>
        <w:t xml:space="preserve">Patient consent for publication</w:t>
      </w:r>
    </w:p>
    <w:p>
      <w:pPr>
        <w:pStyle w:val="FirstParagraph"/>
      </w:pPr>
      <w:r>
        <w:t xml:space="preserve">Not applicable.</w:t>
      </w:r>
    </w:p>
    <w:bookmarkEnd w:id="36"/>
    <w:bookmarkStart w:id="37" w:name="ethics-approval"/>
    <w:p>
      <w:pPr>
        <w:pStyle w:val="Heading3"/>
      </w:pPr>
      <w:r>
        <w:t xml:space="preserve">Ethics approval</w:t>
      </w:r>
    </w:p>
    <w:p>
      <w:pPr>
        <w:pStyle w:val="FirstParagraph"/>
      </w:pPr>
      <w:r>
        <w:t xml:space="preserve">Not applicable. This is an economic modelling study using published</w:t>
      </w:r>
      <w:r>
        <w:t xml:space="preserve"> </w:t>
      </w:r>
      <w:r>
        <w:t xml:space="preserve">aggregate data and programmatic assumptions; it did not involve human</w:t>
      </w:r>
      <w:r>
        <w:t xml:space="preserve"> </w:t>
      </w:r>
      <w:r>
        <w:t xml:space="preserve">participants or identifiable individual-level data.</w:t>
      </w:r>
    </w:p>
    <w:bookmarkEnd w:id="37"/>
    <w:bookmarkEnd w:id="38"/>
    <w:bookmarkStart w:id="39" w:name="contributors"/>
    <w:p>
      <w:pPr>
        <w:pStyle w:val="Heading2"/>
      </w:pPr>
      <w:r>
        <w:t xml:space="preserve">Contributors</w:t>
      </w:r>
    </w:p>
    <w:p>
      <w:pPr>
        <w:pStyle w:val="FirstParagraph"/>
      </w:pPr>
      <w:r>
        <w:t xml:space="preserve">DIL conceived the Sentinel Firewall framework, developed the model</w:t>
      </w:r>
      <w:r>
        <w:t xml:space="preserve"> </w:t>
      </w:r>
      <w:r>
        <w:t xml:space="preserve">structure and assumptions, interpreted the simulation results, drafted</w:t>
      </w:r>
      <w:r>
        <w:t xml:space="preserve"> </w:t>
      </w:r>
      <w:r>
        <w:t xml:space="preserve">and revised the manuscript, and is responsible for the overall content</w:t>
      </w:r>
      <w:r>
        <w:t xml:space="preserve"> </w:t>
      </w:r>
      <w:r>
        <w:t xml:space="preserve">as guarantor.</w:t>
      </w:r>
    </w:p>
    <w:bookmarkEnd w:id="39"/>
    <w:bookmarkStart w:id="40" w:name="author-reflexivity-statement"/>
    <w:p>
      <w:pPr>
        <w:pStyle w:val="Heading2"/>
      </w:pPr>
      <w:r>
        <w:t xml:space="preserve">Author Reflexivity Statement</w:t>
      </w:r>
    </w:p>
    <w:p>
      <w:pPr>
        <w:pStyle w:val="FirstParagraph"/>
      </w:pPr>
      <w:r>
        <w:t xml:space="preserve">This article is a conceptual and economic modelling analysis based entirely on secondary literature, published aggregate data and transparent parameter assumptions. It did not involve primary data collection, human participants, local research infrastructure or unpublished data from any LMIC setting. The work was conceived, modelled and written by a sole author based in a high-income country, which is an important limitation for a paper addressing policy choices in LMICs. To reduce the risk of over-generalisation, the manuscript frames the model as a decision tool rather than a setting-specific implementation plan, reports wide uncertainty ranges, provides the code and spreadsheet for adaptation, and emphasises that any pilot or implementation should be designed and led with researchers, health-system actors and affected communities in the relevant country or region.</w:t>
      </w:r>
    </w:p>
    <w:bookmarkEnd w:id="40"/>
    <w:bookmarkStart w:id="41" w:name="funding"/>
    <w:p>
      <w:pPr>
        <w:pStyle w:val="Heading2"/>
      </w:pPr>
      <w:r>
        <w:t xml:space="preserve">Funding</w:t>
      </w:r>
    </w:p>
    <w:p>
      <w:pPr>
        <w:pStyle w:val="FirstParagraph"/>
      </w:pPr>
      <w:r>
        <w:t xml:space="preserve">No specific funding was received for this work.</w:t>
      </w:r>
    </w:p>
    <w:bookmarkEnd w:id="41"/>
    <w:bookmarkStart w:id="42" w:name="competing-interests"/>
    <w:p>
      <w:pPr>
        <w:pStyle w:val="Heading2"/>
      </w:pPr>
      <w:r>
        <w:t xml:space="preserve">Competing interests</w:t>
      </w:r>
    </w:p>
    <w:p>
      <w:pPr>
        <w:pStyle w:val="FirstParagraph"/>
      </w:pPr>
      <w:r>
        <w:t xml:space="preserve">None declared.</w:t>
      </w:r>
    </w:p>
    <w:bookmarkEnd w:id="42"/>
    <w:bookmarkStart w:id="43" w:name="patient-and-public-involvement"/>
    <w:p>
      <w:pPr>
        <w:pStyle w:val="Heading2"/>
      </w:pPr>
      <w:r>
        <w:t xml:space="preserve">Patient and public involvement</w:t>
      </w:r>
    </w:p>
    <w:p>
      <w:pPr>
        <w:pStyle w:val="FirstParagraph"/>
      </w:pPr>
      <w:r>
        <w:t xml:space="preserve">Patients and the public were not involved in the design, conduct,</w:t>
      </w:r>
      <w:r>
        <w:t xml:space="preserve"> </w:t>
      </w:r>
      <w:r>
        <w:t xml:space="preserve">reporting or dissemination plans for this modelling study.</w:t>
      </w:r>
    </w:p>
    <w:bookmarkEnd w:id="43"/>
    <w:bookmarkStart w:id="44" w:name="acknowledgments"/>
    <w:p>
      <w:pPr>
        <w:pStyle w:val="Heading2"/>
      </w:pPr>
      <w:r>
        <w:t xml:space="preserve">Acknowledgments</w:t>
      </w:r>
    </w:p>
    <w:p>
      <w:pPr>
        <w:pStyle w:val="FirstParagraph"/>
      </w:pPr>
      <w:r>
        <w:t xml:space="preserve">I appreciate insightful comments from Stephen Luby, Sriya Amati, Richard</w:t>
      </w:r>
      <w:r>
        <w:t xml:space="preserve"> </w:t>
      </w:r>
      <w:r>
        <w:t xml:space="preserve">Fuller, Juliette Finetti and Howard Hu. Errors remain my own.</w:t>
      </w:r>
    </w:p>
    <w:bookmarkEnd w:id="44"/>
    <w:bookmarkStart w:id="45" w:name="figure-legends"/>
    <w:p>
      <w:pPr>
        <w:pStyle w:val="Heading2"/>
      </w:pPr>
      <w:r>
        <w:t xml:space="preserve">Figure legends</w:t>
      </w:r>
    </w:p>
    <w:p>
      <w:pPr>
        <w:pStyle w:val="FirstParagraph"/>
      </w:pPr>
      <w:r>
        <w:t xml:space="preserve">Figure 1. Two-panel overview of the Sentinel Firewall logic. Panel A shows the core causal pathway from safe-product substitution to lower maternal and child blood lead, improved child neurodevelopment and IQ, and higher lifetime earnings. Calcium and maternal kohl primarily affect the maternal pathway; child utensils and infant kohl primarily affect the child pathway; and safe pots can affect both. Panel B shows the implementation chain linking targeted households to realized population benefit, illustrating why program effects are smaller than the full biological effect in households that switch completely to the safe product. Source file:</w:t>
      </w:r>
      <w:r>
        <w:t xml:space="preserve"> </w:t>
      </w:r>
      <w:r>
        <w:rPr>
          <w:rStyle w:val="VerbatimChar"/>
        </w:rPr>
        <w:t xml:space="preserve">figure_1_kitchen_cognition_pathway.png</w:t>
      </w:r>
      <w:r>
        <w:t xml:space="preserve">.</w:t>
      </w:r>
    </w:p>
    <w:p>
      <w:pPr>
        <w:pStyle w:val="BodyText"/>
      </w:pPr>
      <w:r>
        <w:t xml:space="preserve">Figure 2. Probabilistic sensitivity analysis of the Kitchen and Kohl packages. Distribution of cognition-channel benefit-cost ratios from 10 000 Monte Carlo draws, with dashed lines marking parity and the package medians. Source file:</w:t>
      </w:r>
      <w:r>
        <w:t xml:space="preserve"> </w:t>
      </w:r>
      <w:r>
        <w:rPr>
          <w:rStyle w:val="VerbatimChar"/>
        </w:rPr>
        <w:t xml:space="preserve">figure_2_bcr_distribution.png</w:t>
      </w:r>
      <w:r>
        <w:t xml:space="preserve">.</w:t>
      </w:r>
    </w:p>
    <w:p>
      <w:pPr>
        <w:pStyle w:val="BodyText"/>
      </w:pPr>
      <w:r>
        <w:t xml:space="preserve">Figure A1. Probabilistic sensitivity analysis of the Kitchen Package. Distribution of cognition-channel benefit-cost ratios from 10 000 Monte Carlo draws, with dashed lines at parity and the median. Source file:</w:t>
      </w:r>
      <w:r>
        <w:t xml:space="preserve"> </w:t>
      </w:r>
      <w:r>
        <w:rPr>
          <w:rStyle w:val="VerbatimChar"/>
        </w:rPr>
        <w:t xml:space="preserve">figure_a1_kitchen_bcr_distribution.png</w:t>
      </w:r>
      <w:r>
        <w:t xml:space="preserve">.</w:t>
      </w:r>
    </w:p>
    <w:p>
      <w:pPr>
        <w:pStyle w:val="BodyText"/>
      </w:pPr>
      <w:r>
        <w:t xml:space="preserve">Figure A2. Probabilistic sensitivity analysis of the Kohl Package. Distribution of cognition-channel benefit-cost ratios from 10 000 Monte Carlo draws, with dashed lines at parity and the median. Source file:</w:t>
      </w:r>
      <w:r>
        <w:t xml:space="preserve"> </w:t>
      </w:r>
      <w:r>
        <w:rPr>
          <w:rStyle w:val="VerbatimChar"/>
        </w:rPr>
        <w:t xml:space="preserve">figure_a2_kohl_bcr_distribution.png</w:t>
      </w:r>
      <w:r>
        <w:t xml:space="preserve">.</w:t>
      </w:r>
    </w:p>
    <w:p>
      <w:pPr>
        <w:pStyle w:val="BodyText"/>
      </w:pPr>
      <w:r>
        <w:t xml:space="preserve">Figure A3. Tornado diagram for Kitchen Package cognition-only benefit-cost ratio. Source file:</w:t>
      </w:r>
      <w:r>
        <w:t xml:space="preserve"> </w:t>
      </w:r>
      <w:r>
        <w:rPr>
          <w:rStyle w:val="VerbatimChar"/>
        </w:rPr>
        <w:t xml:space="preserve">figure_a3_kitchen_tornado.png</w:t>
      </w:r>
      <w:r>
        <w:t xml:space="preserve">.</w:t>
      </w:r>
    </w:p>
    <w:p>
      <w:pPr>
        <w:pStyle w:val="BodyText"/>
      </w:pPr>
      <w:r>
        <w:t xml:space="preserve">Figure A4. Tornado diagram for Kohl Package cognition-only benefit-cost ratio. Source file:</w:t>
      </w:r>
      <w:r>
        <w:t xml:space="preserve"> </w:t>
      </w:r>
      <w:r>
        <w:rPr>
          <w:rStyle w:val="VerbatimChar"/>
        </w:rPr>
        <w:t xml:space="preserve">figure_a4_kohl_tornado.png</w:t>
      </w:r>
      <w:r>
        <w:t xml:space="preserve">.</w:t>
      </w:r>
    </w:p>
    <w:bookmarkEnd w:id="45"/>
    <w:bookmarkStart w:id="47" w:name="references"/>
    <w:p>
      <w:pPr>
        <w:pStyle w:val="Heading2"/>
      </w:pPr>
      <w:r>
        <w:t xml:space="preserve">References</w:t>
      </w:r>
    </w:p>
    <w:p>
      <w:pPr>
        <w:pStyle w:val="Compact"/>
        <w:numPr>
          <w:ilvl w:val="0"/>
          <w:numId w:val="1004"/>
        </w:numPr>
      </w:pPr>
      <w:r>
        <w:t xml:space="preserve">Luby SP, Forsyth JE, Fatmi Z, et al. Removing lead from the global</w:t>
      </w:r>
      <w:r>
        <w:t xml:space="preserve"> </w:t>
      </w:r>
      <w:r>
        <w:t xml:space="preserve">economy. Lancet Planet Health 2024;8:e966-72.</w:t>
      </w:r>
      <w:r>
        <w:t xml:space="preserve"> </w:t>
      </w:r>
      <w:r>
        <w:t xml:space="preserve">doi:10.1016/S2542-5196(24)00244-4</w:t>
      </w:r>
    </w:p>
    <w:p>
      <w:pPr>
        <w:pStyle w:val="Compact"/>
        <w:numPr>
          <w:ilvl w:val="0"/>
          <w:numId w:val="1004"/>
        </w:numPr>
      </w:pPr>
      <w:r>
        <w:t xml:space="preserve">World Health Organization. Lead poisoning. 2024. Available:</w:t>
      </w:r>
      <w:r>
        <w:t xml:space="preserve"> </w:t>
      </w:r>
      <w:r>
        <w:t xml:space="preserve">https://www.who.int/news-room/fact-sheets/detail/lead-poisoning-and-health</w:t>
      </w:r>
      <w:r>
        <w:t xml:space="preserve"> </w:t>
      </w:r>
      <w:r>
        <w:t xml:space="preserve">[Accessed 16 Apr 2026].</w:t>
      </w:r>
    </w:p>
    <w:p>
      <w:pPr>
        <w:pStyle w:val="Compact"/>
        <w:numPr>
          <w:ilvl w:val="0"/>
          <w:numId w:val="1004"/>
        </w:numPr>
      </w:pPr>
      <w:r>
        <w:t xml:space="preserve">Sargsyan A, Nash E, Binkhorst G, et al. Rapid market screening to</w:t>
      </w:r>
      <w:r>
        <w:t xml:space="preserve"> </w:t>
      </w:r>
      <w:r>
        <w:t xml:space="preserve">assess lead concentrations in consumer products across 25 low-income</w:t>
      </w:r>
      <w:r>
        <w:t xml:space="preserve"> </w:t>
      </w:r>
      <w:r>
        <w:t xml:space="preserve">and middle-income countries. Sci Rep 2024;14:9713.</w:t>
      </w:r>
      <w:r>
        <w:t xml:space="preserve"> </w:t>
      </w:r>
      <w:r>
        <w:t xml:space="preserve">doi:10.1038/s41598-024-59519-0</w:t>
      </w:r>
    </w:p>
    <w:p>
      <w:pPr>
        <w:pStyle w:val="Compact"/>
        <w:numPr>
          <w:ilvl w:val="0"/>
          <w:numId w:val="1004"/>
        </w:numPr>
      </w:pPr>
      <w:r>
        <w:t xml:space="preserve">Weidenhamer JD, Kobunski PA, Kuepouo G, et al. Lead exposure from</w:t>
      </w:r>
      <w:r>
        <w:t xml:space="preserve"> </w:t>
      </w:r>
      <w:r>
        <w:t xml:space="preserve">aluminum cookware in Cameroon. Sci Total Environ 2014;496:339-47.</w:t>
      </w:r>
      <w:r>
        <w:t xml:space="preserve"> </w:t>
      </w:r>
      <w:r>
        <w:t xml:space="preserve">doi:10.1016/j.scitotenv.2014.07.016</w:t>
      </w:r>
    </w:p>
    <w:p>
      <w:pPr>
        <w:pStyle w:val="Compact"/>
        <w:numPr>
          <w:ilvl w:val="0"/>
          <w:numId w:val="1004"/>
        </w:numPr>
      </w:pPr>
      <w:r>
        <w:t xml:space="preserve">Weidenhamer JD, Chasant M, Gottesfeld P. Metal exposures from source</w:t>
      </w:r>
      <w:r>
        <w:t xml:space="preserve"> </w:t>
      </w:r>
      <w:r>
        <w:t xml:space="preserve">materials for artisanal aluminum cookware. Int J Environ Health Res</w:t>
      </w:r>
      <w:r>
        <w:t xml:space="preserve"> </w:t>
      </w:r>
      <w:r>
        <w:t xml:space="preserve">2023;33:374-85. doi:10.1080/09603123.2022.2029112</w:t>
      </w:r>
    </w:p>
    <w:p>
      <w:pPr>
        <w:pStyle w:val="Compact"/>
        <w:numPr>
          <w:ilvl w:val="0"/>
          <w:numId w:val="1004"/>
        </w:numPr>
      </w:pPr>
      <w:r>
        <w:t xml:space="preserve">Romieu I, Palazuelos E, Hernandez-Avila M, et al. Lead exposure in</w:t>
      </w:r>
      <w:r>
        <w:t xml:space="preserve"> </w:t>
      </w:r>
      <w:r>
        <w:t xml:space="preserve">Mexican children: the effect of lead-glazed ceramic ware. J Pediatr</w:t>
      </w:r>
      <w:r>
        <w:t xml:space="preserve"> </w:t>
      </w:r>
      <w:r>
        <w:t xml:space="preserve">1994;125:111-7.</w:t>
      </w:r>
    </w:p>
    <w:p>
      <w:pPr>
        <w:pStyle w:val="Compact"/>
        <w:numPr>
          <w:ilvl w:val="0"/>
          <w:numId w:val="1004"/>
        </w:numPr>
      </w:pPr>
      <w:r>
        <w:t xml:space="preserve">Hore P, Sedlar S, Ehrlich J. Lead poisoning in a mother and her four</w:t>
      </w:r>
      <w:r>
        <w:t xml:space="preserve"> </w:t>
      </w:r>
      <w:r>
        <w:t xml:space="preserve">children using a traditional eye cosmetic - New York City,</w:t>
      </w:r>
      <w:r>
        <w:t xml:space="preserve"> </w:t>
      </w:r>
      <w:r>
        <w:t xml:space="preserve">2012-2023. MMWR Morb Mortal Wkly Rep 2024;73:667-71.</w:t>
      </w:r>
      <w:r>
        <w:t xml:space="preserve"> </w:t>
      </w:r>
      <w:r>
        <w:t xml:space="preserve">doi:10.15585/mmwr.mm7330a2</w:t>
      </w:r>
    </w:p>
    <w:p>
      <w:pPr>
        <w:pStyle w:val="Compact"/>
        <w:numPr>
          <w:ilvl w:val="0"/>
          <w:numId w:val="1004"/>
        </w:numPr>
      </w:pPr>
      <w:r>
        <w:t xml:space="preserve">Ettinger AS, Tellez-Rojo MM, Amarasiriwardena C, et al. Effect of</w:t>
      </w:r>
      <w:r>
        <w:t xml:space="preserve"> </w:t>
      </w:r>
      <w:r>
        <w:t xml:space="preserve">calcium supplementation on blood lead levels in pregnancy: a</w:t>
      </w:r>
      <w:r>
        <w:t xml:space="preserve"> </w:t>
      </w:r>
      <w:r>
        <w:t xml:space="preserve">randomized placebo-controlled trial. Environ Health Perspect</w:t>
      </w:r>
      <w:r>
        <w:t xml:space="preserve"> </w:t>
      </w:r>
      <w:r>
        <w:t xml:space="preserve">2009;117:26-31. doi:10.1289/ehp.11868</w:t>
      </w:r>
    </w:p>
    <w:p>
      <w:pPr>
        <w:pStyle w:val="Compact"/>
        <w:numPr>
          <w:ilvl w:val="0"/>
          <w:numId w:val="1004"/>
        </w:numPr>
      </w:pPr>
      <w:r>
        <w:t xml:space="preserve">UNICEF. Antenatal care. 2024. Available:</w:t>
      </w:r>
      <w:r>
        <w:t xml:space="preserve"> </w:t>
      </w:r>
      <w:r>
        <w:t xml:space="preserve">https://data.unicef.org/topic/maternal-health/antenatal-care/</w:t>
      </w:r>
      <w:r>
        <w:t xml:space="preserve"> </w:t>
      </w:r>
      <w:r>
        <w:t xml:space="preserve">[Accessed 16 Apr 2026].</w:t>
      </w:r>
    </w:p>
    <w:p>
      <w:pPr>
        <w:pStyle w:val="Compact"/>
        <w:numPr>
          <w:ilvl w:val="0"/>
          <w:numId w:val="1004"/>
        </w:numPr>
      </w:pPr>
      <w:r>
        <w:t xml:space="preserve">UNICEF. Delivery care. 2024. Available:</w:t>
      </w:r>
      <w:r>
        <w:t xml:space="preserve"> </w:t>
      </w:r>
      <w:r>
        <w:t xml:space="preserve">https://data.unicef.org/topic/maternal-health/delivery-care/</w:t>
      </w:r>
      <w:r>
        <w:t xml:space="preserve"> </w:t>
      </w:r>
      <w:r>
        <w:t xml:space="preserve">[Accessed 16 Apr 2026].</w:t>
      </w:r>
    </w:p>
    <w:p>
      <w:pPr>
        <w:pStyle w:val="Compact"/>
        <w:numPr>
          <w:ilvl w:val="0"/>
          <w:numId w:val="1004"/>
        </w:numPr>
      </w:pPr>
      <w:r>
        <w:t xml:space="preserve">UNICEF. Vaccination and immunization statistics. 2025. Available:</w:t>
      </w:r>
      <w:r>
        <w:t xml:space="preserve"> </w:t>
      </w:r>
      <w:r>
        <w:t xml:space="preserve">https://data.unicef.org/topic/child-health/immunization/ [Accessed</w:t>
      </w:r>
      <w:r>
        <w:t xml:space="preserve"> </w:t>
      </w:r>
      <w:r>
        <w:t xml:space="preserve">16 Apr 2026].</w:t>
      </w:r>
    </w:p>
    <w:p>
      <w:pPr>
        <w:pStyle w:val="Compact"/>
        <w:numPr>
          <w:ilvl w:val="0"/>
          <w:numId w:val="1004"/>
        </w:numPr>
      </w:pPr>
      <w:r>
        <w:t xml:space="preserve">World Bank. World Development Indicators. 2024. Available:</w:t>
      </w:r>
      <w:r>
        <w:t xml:space="preserve"> </w:t>
      </w:r>
      <w:r>
        <w:t xml:space="preserve">https://data.worldbank.org/ [Accessed 16 Apr 2026].</w:t>
      </w:r>
    </w:p>
    <w:p>
      <w:pPr>
        <w:pStyle w:val="Compact"/>
        <w:numPr>
          <w:ilvl w:val="0"/>
          <w:numId w:val="1004"/>
        </w:numPr>
      </w:pPr>
      <w:r>
        <w:t xml:space="preserve">International Labour Organization. World Employment and Social</w:t>
      </w:r>
      <w:r>
        <w:t xml:space="preserve"> </w:t>
      </w:r>
      <w:r>
        <w:t xml:space="preserve">Outlook: Trends 2025. Geneva: International Labour Organization,</w:t>
      </w:r>
    </w:p>
    <w:p>
      <w:pPr>
        <w:pStyle w:val="Compact"/>
        <w:numPr>
          <w:ilvl w:val="1"/>
          <w:numId w:val="1005"/>
        </w:numPr>
      </w:pPr>
      <w:r>
        <w:t xml:space="preserve">doi:10.54394/IZLN1673</w:t>
      </w:r>
    </w:p>
    <w:p>
      <w:pPr>
        <w:pStyle w:val="Compact"/>
        <w:numPr>
          <w:ilvl w:val="0"/>
          <w:numId w:val="1004"/>
        </w:numPr>
      </w:pPr>
      <w:r>
        <w:t xml:space="preserve">Briggs A, Claxton K, Sculpher M. Decision modelling for health</w:t>
      </w:r>
      <w:r>
        <w:t xml:space="preserve"> </w:t>
      </w:r>
      <w:r>
        <w:t xml:space="preserve">economic evaluation. Oxford: Oxford University Press, 2006.</w:t>
      </w:r>
    </w:p>
    <w:p>
      <w:pPr>
        <w:pStyle w:val="Compact"/>
        <w:numPr>
          <w:ilvl w:val="0"/>
          <w:numId w:val="1004"/>
        </w:numPr>
      </w:pPr>
      <w:r>
        <w:t xml:space="preserve">Canfield RL, Henderson CR Jr, Cory-Slechta DA, et al. Intellectual</w:t>
      </w:r>
      <w:r>
        <w:t xml:space="preserve"> </w:t>
      </w:r>
      <w:r>
        <w:t xml:space="preserve">impairment in children with blood lead concentrations below 10 ug</w:t>
      </w:r>
      <w:r>
        <w:t xml:space="preserve"> </w:t>
      </w:r>
      <w:r>
        <w:t xml:space="preserve">per deciliter. N Engl J Med 2003;348:1517-26.</w:t>
      </w:r>
      <w:r>
        <w:t xml:space="preserve"> </w:t>
      </w:r>
      <w:r>
        <w:t xml:space="preserve">doi:10.1056/NEJMoa022848</w:t>
      </w:r>
    </w:p>
    <w:p>
      <w:pPr>
        <w:pStyle w:val="Compact"/>
        <w:numPr>
          <w:ilvl w:val="0"/>
          <w:numId w:val="1004"/>
        </w:numPr>
      </w:pPr>
      <w:r>
        <w:t xml:space="preserve">Lanphear BP, Hornung R, Khoury J, et al. Low-level environmental</w:t>
      </w:r>
      <w:r>
        <w:t xml:space="preserve"> </w:t>
      </w:r>
      <w:r>
        <w:t xml:space="preserve">lead exposure and children’s intellectual function: an international</w:t>
      </w:r>
      <w:r>
        <w:t xml:space="preserve"> </w:t>
      </w:r>
      <w:r>
        <w:t xml:space="preserve">pooled analysis. Environ Health Perspect 2005;113:894-9.</w:t>
      </w:r>
      <w:r>
        <w:t xml:space="preserve"> </w:t>
      </w:r>
      <w:r>
        <w:t xml:space="preserve">doi:10.1289/ehp.7688</w:t>
      </w:r>
    </w:p>
    <w:p>
      <w:pPr>
        <w:pStyle w:val="Compact"/>
        <w:numPr>
          <w:ilvl w:val="0"/>
          <w:numId w:val="1004"/>
        </w:numPr>
      </w:pPr>
      <w:r>
        <w:t xml:space="preserve">Jusko TA, Henderson CR Jr, Lanphear BP, et al. Blood lead</w:t>
      </w:r>
      <w:r>
        <w:t xml:space="preserve"> </w:t>
      </w:r>
      <w:r>
        <w:t xml:space="preserve">concentrations &lt;10 ug/dL and child intelligence at 6 years of age.</w:t>
      </w:r>
      <w:r>
        <w:t xml:space="preserve"> </w:t>
      </w:r>
      <w:r>
        <w:t xml:space="preserve">Environ Health Perspect 2008;116:243-8. doi:10.1289/ehp.10424</w:t>
      </w:r>
    </w:p>
    <w:p>
      <w:pPr>
        <w:pStyle w:val="Compact"/>
        <w:numPr>
          <w:ilvl w:val="0"/>
          <w:numId w:val="1004"/>
        </w:numPr>
      </w:pPr>
      <w:r>
        <w:t xml:space="preserve">Schnaas L, Rothenberg SJ, Flores MF, et al. Reduced intellectual</w:t>
      </w:r>
      <w:r>
        <w:t xml:space="preserve"> </w:t>
      </w:r>
      <w:r>
        <w:t xml:space="preserve">development in children with prenatal lead exposure. Environ Health</w:t>
      </w:r>
      <w:r>
        <w:t xml:space="preserve"> </w:t>
      </w:r>
      <w:r>
        <w:t xml:space="preserve">Perspect 2006;114:791-7. doi:10.1289/ehp.8552</w:t>
      </w:r>
    </w:p>
    <w:p>
      <w:pPr>
        <w:pStyle w:val="Compact"/>
        <w:numPr>
          <w:ilvl w:val="0"/>
          <w:numId w:val="1004"/>
        </w:numPr>
      </w:pPr>
      <w:r>
        <w:t xml:space="preserve">Crawfurd L, Todd R, Hares S. The effect of lead exposure on</w:t>
      </w:r>
      <w:r>
        <w:t xml:space="preserve"> </w:t>
      </w:r>
      <w:r>
        <w:t xml:space="preserve">children’s learning in the developing world. World Bank Res Obs</w:t>
      </w:r>
      <w:r>
        <w:t xml:space="preserve"> </w:t>
      </w:r>
      <w:r>
        <w:t xml:space="preserve">2025;40:229-63. doi:10.1093/wbro/lkae010</w:t>
      </w:r>
    </w:p>
    <w:p>
      <w:pPr>
        <w:pStyle w:val="Compact"/>
        <w:numPr>
          <w:ilvl w:val="0"/>
          <w:numId w:val="1004"/>
        </w:numPr>
      </w:pPr>
      <w:r>
        <w:t xml:space="preserve">Ozawa S, Laing SK, Higgins CR, et al. Educational and economic</w:t>
      </w:r>
      <w:r>
        <w:t xml:space="preserve"> </w:t>
      </w:r>
      <w:r>
        <w:t xml:space="preserve">returns to cognitive ability in low- and middle-income countries: a</w:t>
      </w:r>
      <w:r>
        <w:t xml:space="preserve"> </w:t>
      </w:r>
      <w:r>
        <w:t xml:space="preserve">systematic review. World Dev 2022;149:105668.</w:t>
      </w:r>
      <w:r>
        <w:t xml:space="preserve"> </w:t>
      </w:r>
      <w:r>
        <w:t xml:space="preserve">doi:10.1016/j.worlddev.2021.105668</w:t>
      </w:r>
    </w:p>
    <w:p>
      <w:pPr>
        <w:pStyle w:val="Compact"/>
        <w:numPr>
          <w:ilvl w:val="0"/>
          <w:numId w:val="1004"/>
        </w:numPr>
      </w:pPr>
      <w:r>
        <w:t xml:space="preserve">Grosse SD, Matte TD, Schwartz J, et al. Economic gains resulting</w:t>
      </w:r>
      <w:r>
        <w:t xml:space="preserve"> </w:t>
      </w:r>
      <w:r>
        <w:t xml:space="preserve">from the reduction in children’s exposure to lead in the United</w:t>
      </w:r>
      <w:r>
        <w:t xml:space="preserve"> </w:t>
      </w:r>
      <w:r>
        <w:t xml:space="preserve">States. Environ Health Perspect 2002;110:563-9.</w:t>
      </w:r>
      <w:r>
        <w:t xml:space="preserve"> </w:t>
      </w:r>
      <w:r>
        <w:t xml:space="preserve">doi:10.1289/ehp.02110563</w:t>
      </w:r>
    </w:p>
    <w:p>
      <w:pPr>
        <w:pStyle w:val="Compact"/>
        <w:numPr>
          <w:ilvl w:val="0"/>
          <w:numId w:val="1004"/>
        </w:numPr>
      </w:pPr>
      <w:r>
        <w:t xml:space="preserve">Grosse SD, Zhou Y. Monetary valuation of children’s cognitive</w:t>
      </w:r>
      <w:r>
        <w:t xml:space="preserve"> </w:t>
      </w:r>
      <w:r>
        <w:t xml:space="preserve">outcomes in economic evaluations from a societal perspective: a</w:t>
      </w:r>
      <w:r>
        <w:t xml:space="preserve"> </w:t>
      </w:r>
      <w:r>
        <w:t xml:space="preserve">review. Children (Basel) 2021;8:352. doi:10.3390/children8050352</w:t>
      </w:r>
    </w:p>
    <w:p>
      <w:pPr>
        <w:pStyle w:val="Compact"/>
        <w:numPr>
          <w:ilvl w:val="0"/>
          <w:numId w:val="1004"/>
        </w:numPr>
      </w:pPr>
      <w:r>
        <w:t xml:space="preserve">Hanushek EA, Woessmann L. The role of cognitive skills in economic</w:t>
      </w:r>
      <w:r>
        <w:t xml:space="preserve"> </w:t>
      </w:r>
      <w:r>
        <w:t xml:space="preserve">development. J Econ Lit 2008;46:607-68. doi:10.1257/jel.46.3.607</w:t>
      </w:r>
    </w:p>
    <w:p>
      <w:pPr>
        <w:pStyle w:val="Compact"/>
        <w:numPr>
          <w:ilvl w:val="0"/>
          <w:numId w:val="1004"/>
        </w:numPr>
      </w:pPr>
      <w:r>
        <w:t xml:space="preserve">Al-Jawadi AA, Al-Mola ZWA, Al-Jomard RA. Determinants of maternal</w:t>
      </w:r>
      <w:r>
        <w:t xml:space="preserve"> </w:t>
      </w:r>
      <w:r>
        <w:t xml:space="preserve">and umbilical blood lead levels: a cross-sectional study, Mosul,</w:t>
      </w:r>
      <w:r>
        <w:t xml:space="preserve"> </w:t>
      </w:r>
      <w:r>
        <w:t xml:space="preserve">Iraq. BMC Res Notes 2009;2:47. doi:10.1186/1756-0500-2-47</w:t>
      </w:r>
    </w:p>
    <w:p>
      <w:pPr>
        <w:pStyle w:val="Compact"/>
        <w:numPr>
          <w:ilvl w:val="0"/>
          <w:numId w:val="1004"/>
        </w:numPr>
      </w:pPr>
      <w:r>
        <w:t xml:space="preserve">Vigeh M, Sahebi L, Yokoyama K. Prenatal blood lead levels and birth</w:t>
      </w:r>
      <w:r>
        <w:t xml:space="preserve"> </w:t>
      </w:r>
      <w:r>
        <w:t xml:space="preserve">weight: a meta-analysis study. J Environ Health Sci Eng</w:t>
      </w:r>
      <w:r>
        <w:t xml:space="preserve"> </w:t>
      </w:r>
      <w:r>
        <w:t xml:space="preserve">2023;21:1-10. doi:10.1007/s40201-022-00843-w</w:t>
      </w:r>
    </w:p>
    <w:p>
      <w:pPr>
        <w:pStyle w:val="Compact"/>
        <w:numPr>
          <w:ilvl w:val="0"/>
          <w:numId w:val="1004"/>
        </w:numPr>
      </w:pPr>
      <w:r>
        <w:t xml:space="preserve">Bellinger D, Leviton A, Waternaux C, et al. Longitudinal analyses of</w:t>
      </w:r>
      <w:r>
        <w:t xml:space="preserve"> </w:t>
      </w:r>
      <w:r>
        <w:t xml:space="preserve">prenatal and postnatal lead exposure and early cognitive</w:t>
      </w:r>
      <w:r>
        <w:t xml:space="preserve"> </w:t>
      </w:r>
      <w:r>
        <w:t xml:space="preserve">development. N Engl J Med 1987;316:1037-43.</w:t>
      </w:r>
    </w:p>
    <w:p>
      <w:pPr>
        <w:pStyle w:val="Compact"/>
        <w:numPr>
          <w:ilvl w:val="0"/>
          <w:numId w:val="1004"/>
        </w:numPr>
      </w:pPr>
      <w:r>
        <w:t xml:space="preserve">Dupas P, Hoffmann V, Kremer M, et al. Targeting health subsidies</w:t>
      </w:r>
      <w:r>
        <w:t xml:space="preserve"> </w:t>
      </w:r>
      <w:r>
        <w:t xml:space="preserve">through a nonprice mechanism: a randomized controlled trial in</w:t>
      </w:r>
      <w:r>
        <w:t xml:space="preserve"> </w:t>
      </w:r>
      <w:r>
        <w:t xml:space="preserve">Kenya. Science 2016;353:889-95. doi:10.1126/science.aaf6288</w:t>
      </w:r>
    </w:p>
    <w:p>
      <w:pPr>
        <w:pStyle w:val="Compact"/>
        <w:numPr>
          <w:ilvl w:val="0"/>
          <w:numId w:val="1004"/>
        </w:numPr>
      </w:pPr>
      <w:r>
        <w:t xml:space="preserve">Poropat AE, Laidlaw MAS, Lanphear B, et al. Blood lead and</w:t>
      </w:r>
      <w:r>
        <w:t xml:space="preserve"> </w:t>
      </w:r>
      <w:r>
        <w:t xml:space="preserve">preeclampsia: a meta-analysis and review of implications. Environ</w:t>
      </w:r>
      <w:r>
        <w:t xml:space="preserve"> </w:t>
      </w:r>
      <w:r>
        <w:t xml:space="preserve">Res 2018;160:12-9. doi:10.1016/j.envres.2017.09.014</w:t>
      </w:r>
    </w:p>
    <w:p>
      <w:pPr>
        <w:pStyle w:val="Compact"/>
        <w:numPr>
          <w:ilvl w:val="0"/>
          <w:numId w:val="1004"/>
        </w:numPr>
      </w:pPr>
      <w:r>
        <w:t xml:space="preserve">Habibian A, Abyadeh M, Abyareh M, et al. Association of maternal</w:t>
      </w:r>
      <w:r>
        <w:t xml:space="preserve"> </w:t>
      </w:r>
      <w:r>
        <w:t xml:space="preserve">lead exposure with the risk of preterm: a meta-analysis. J Matern</w:t>
      </w:r>
      <w:r>
        <w:t xml:space="preserve"> </w:t>
      </w:r>
      <w:r>
        <w:t xml:space="preserve">Fetal Neonatal Med 2022;35:7222-30.</w:t>
      </w:r>
      <w:r>
        <w:t xml:space="preserve"> </w:t>
      </w:r>
      <w:r>
        <w:t xml:space="preserve">doi:10.1080/14767058.2021.1946780</w:t>
      </w:r>
    </w:p>
    <w:p>
      <w:pPr>
        <w:pStyle w:val="Compact"/>
        <w:numPr>
          <w:ilvl w:val="0"/>
          <w:numId w:val="1004"/>
        </w:numPr>
      </w:pPr>
      <w:r>
        <w:t xml:space="preserve">World Health Organization. Preterm birth. 2023. Available:</w:t>
      </w:r>
      <w:r>
        <w:t xml:space="preserve"> </w:t>
      </w:r>
      <w:r>
        <w:t xml:space="preserve">https://www.who.int/news-room/fact-sheets/detail/preterm-birth</w:t>
      </w:r>
      <w:r>
        <w:t xml:space="preserve"> </w:t>
      </w:r>
      <w:r>
        <w:t xml:space="preserve">[Accessed 16 Apr 2026].</w:t>
      </w:r>
    </w:p>
    <w:p>
      <w:pPr>
        <w:pStyle w:val="Compact"/>
        <w:numPr>
          <w:ilvl w:val="0"/>
          <w:numId w:val="1004"/>
        </w:numPr>
      </w:pPr>
      <w:r>
        <w:t xml:space="preserve">Blencowe H, Lee ACC, Cousens S, et al. Preterm birth–associated</w:t>
      </w:r>
      <w:r>
        <w:t xml:space="preserve"> </w:t>
      </w:r>
      <w:r>
        <w:t xml:space="preserve">neurodevelopmental impairment estimates at regional and global</w:t>
      </w:r>
      <w:r>
        <w:t xml:space="preserve"> </w:t>
      </w:r>
      <w:r>
        <w:t xml:space="preserve">levels for 2010.</w:t>
      </w:r>
      <w:r>
        <w:t xml:space="preserve"> </w:t>
      </w:r>
      <w:r>
        <w:rPr>
          <w:i/>
          <w:iCs/>
        </w:rPr>
        <w:t xml:space="preserve">Pediatric Research</w:t>
      </w:r>
      <w:r>
        <w:t xml:space="preserve"> </w:t>
      </w:r>
      <w:r>
        <w:t xml:space="preserve">2013;74(Suppl 1):17–34.</w:t>
      </w:r>
      <w:r>
        <w:t xml:space="preserve"> </w:t>
      </w:r>
      <w:r>
        <w:t xml:space="preserve">doi:10.1038/pr.2013.204</w:t>
      </w:r>
    </w:p>
    <w:p>
      <w:pPr>
        <w:pStyle w:val="Compact"/>
        <w:numPr>
          <w:ilvl w:val="0"/>
          <w:numId w:val="1004"/>
        </w:numPr>
      </w:pPr>
      <w:r>
        <w:t xml:space="preserve">Global Burden of Disease Collaborative Network.</w:t>
      </w:r>
      <w:r>
        <w:t xml:space="preserve"> </w:t>
      </w:r>
      <w:r>
        <w:rPr>
          <w:i/>
          <w:iCs/>
        </w:rPr>
        <w:t xml:space="preserve">Global Burden of</w:t>
      </w:r>
      <w:r>
        <w:rPr>
          <w:i/>
          <w:iCs/>
        </w:rPr>
        <w:t xml:space="preserve"> </w:t>
      </w:r>
      <w:r>
        <w:rPr>
          <w:i/>
          <w:iCs/>
        </w:rPr>
        <w:t xml:space="preserve">Disease Study 2019 (GBD 2019) Disability Weights</w:t>
      </w:r>
      <w:r>
        <w:t xml:space="preserve">. Seattle, United</w:t>
      </w:r>
      <w:r>
        <w:t xml:space="preserve"> </w:t>
      </w:r>
      <w:r>
        <w:t xml:space="preserve">States of America: Institute for Health Metrics and Evaluation</w:t>
      </w:r>
      <w:r>
        <w:t xml:space="preserve"> </w:t>
      </w:r>
      <w:r>
        <w:t xml:space="preserve">(IHME), 2020. Available at:</w:t>
      </w:r>
      <w:r>
        <w:t xml:space="preserve"> </w:t>
      </w:r>
      <w:hyperlink r:id="rId46">
        <w:r>
          <w:rPr>
            <w:rStyle w:val="Hyperlink"/>
          </w:rPr>
          <w:t xml:space="preserve">https://ghdx.healthdata.org/record/ihme-data/gbd-2019-disability-weights</w:t>
        </w:r>
      </w:hyperlink>
    </w:p>
    <w:p>
      <w:pPr>
        <w:pStyle w:val="Compact"/>
        <w:numPr>
          <w:ilvl w:val="0"/>
          <w:numId w:val="1004"/>
        </w:numPr>
      </w:pPr>
      <w:r>
        <w:t xml:space="preserve">GBD 2019 Diseases and Injuries Collaborators. Global burden of 369</w:t>
      </w:r>
      <w:r>
        <w:t xml:space="preserve"> </w:t>
      </w:r>
      <w:r>
        <w:t xml:space="preserve">diseases and injuries in 204 countries and territories, 1990–2019: a</w:t>
      </w:r>
      <w:r>
        <w:t xml:space="preserve"> </w:t>
      </w:r>
      <w:r>
        <w:t xml:space="preserve">systematic analysis for the Global Burden of Disease Study 2019.</w:t>
      </w:r>
      <w:r>
        <w:t xml:space="preserve"> </w:t>
      </w:r>
      <w:r>
        <w:rPr>
          <w:i/>
          <w:iCs/>
        </w:rPr>
        <w:t xml:space="preserve">Lancet</w:t>
      </w:r>
      <w:r>
        <w:t xml:space="preserve"> </w:t>
      </w:r>
      <w:r>
        <w:t xml:space="preserve">2020;396:1204–1222. doi:10.1016/S0140-6736(20)30925-9</w:t>
      </w:r>
    </w:p>
    <w:p>
      <w:pPr>
        <w:pStyle w:val="Compact"/>
        <w:numPr>
          <w:ilvl w:val="0"/>
          <w:numId w:val="1004"/>
        </w:numPr>
      </w:pPr>
      <w:r>
        <w:t xml:space="preserve">Larsen B, Sanchez-Triana E. Global health burden and cost of lead</w:t>
      </w:r>
      <w:r>
        <w:t xml:space="preserve"> </w:t>
      </w:r>
      <w:r>
        <w:t xml:space="preserve">exposure in children and adults: a health impact and economic</w:t>
      </w:r>
      <w:r>
        <w:t xml:space="preserve"> </w:t>
      </w:r>
      <w:r>
        <w:t xml:space="preserve">modelling analysis. Lancet Planet Health 2023;7:e831-40.</w:t>
      </w:r>
      <w:r>
        <w:t xml:space="preserve"> </w:t>
      </w:r>
      <w:r>
        <w:t xml:space="preserve">doi:10.1016/S2542-5196(23)00166-3</w:t>
      </w:r>
    </w:p>
    <w:p>
      <w:pPr>
        <w:pStyle w:val="Compact"/>
        <w:numPr>
          <w:ilvl w:val="0"/>
          <w:numId w:val="1004"/>
        </w:numPr>
      </w:pPr>
      <w:r>
        <w:t xml:space="preserve">Robinson LA, Hammitt JK, O’Keeffe L. Valuing mortality risk</w:t>
      </w:r>
      <w:r>
        <w:t xml:space="preserve"> </w:t>
      </w:r>
      <w:r>
        <w:t xml:space="preserve">reductions in global benefit-cost analysis. J Benefit Cost Anal</w:t>
      </w:r>
      <w:r>
        <w:t xml:space="preserve"> </w:t>
      </w:r>
      <w:r>
        <w:t xml:space="preserve">2019;10(S1):15-50.</w:t>
      </w:r>
    </w:p>
    <w:p>
      <w:pPr>
        <w:pStyle w:val="Compact"/>
        <w:numPr>
          <w:ilvl w:val="0"/>
          <w:numId w:val="1004"/>
        </w:numPr>
      </w:pPr>
      <w:r>
        <w:t xml:space="preserve">Tsetskhladze N. Evidence and sustained leadership help reduce lead</w:t>
      </w:r>
      <w:r>
        <w:t xml:space="preserve"> </w:t>
      </w:r>
      <w:r>
        <w:t xml:space="preserve">exposure for women and children. UNICEF Georgia 2024. Available:</w:t>
      </w:r>
      <w:r>
        <w:t xml:space="preserve"> </w:t>
      </w:r>
      <w:r>
        <w:t xml:space="preserve">https://www.unicef.org/georgia/evidence-and-sustained-leadership-help-reduce-lead-exposure-women-and-children</w:t>
      </w:r>
      <w:r>
        <w:t xml:space="preserve"> </w:t>
      </w:r>
      <w:r>
        <w:t xml:space="preserve">[Accessed 29 Apr 2026].</w:t>
      </w:r>
    </w:p>
    <w:p>
      <w:pPr>
        <w:pStyle w:val="Compact"/>
        <w:numPr>
          <w:ilvl w:val="0"/>
          <w:numId w:val="1004"/>
        </w:numPr>
      </w:pPr>
      <w:r>
        <w:t xml:space="preserve">Ugreshelidze D, Khachidze N, Chakhnashvili N, et al. Association</w:t>
      </w:r>
      <w:r>
        <w:t xml:space="preserve"> </w:t>
      </w:r>
      <w:r>
        <w:t xml:space="preserve">between blood lead levels, haemoglobin and anaemia in pregnant</w:t>
      </w:r>
      <w:r>
        <w:t xml:space="preserve"> </w:t>
      </w:r>
      <w:r>
        <w:t xml:space="preserve">women: a register-based cohort study from the Autonomous Republic</w:t>
      </w:r>
      <w:r>
        <w:t xml:space="preserve"> </w:t>
      </w:r>
      <w:r>
        <w:t xml:space="preserve">of Adjara, Georgia. J Public Health 2026.</w:t>
      </w:r>
      <w:r>
        <w:t xml:space="preserve"> </w:t>
      </w:r>
      <w:r>
        <w:t xml:space="preserve">doi:10.1007/s10389-026-02482-x</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025">
    <w:nsid w:val="A99412025"/>
    <w:multiLevelType w:val="multilevel"/>
    <w:lvl w:ilvl="0">
      <w:start w:val="2025"/>
      <w:numFmt w:val="decimal"/>
      <w:lvlText w:val="%1."/>
      <w:lvlJc w:val="left"/>
      <w:pPr>
        <w:ind w:left="720" w:hanging="360"/>
      </w:pPr>
    </w:lvl>
    <w:lvl w:ilvl="1">
      <w:start w:val="2025"/>
      <w:numFmt w:val="decimal"/>
      <w:lvlText w:val="%2."/>
      <w:lvlJc w:val="left"/>
      <w:pPr>
        <w:ind w:left="1440" w:hanging="360"/>
      </w:pPr>
    </w:lvl>
    <w:lvl w:ilvl="2">
      <w:start w:val="2025"/>
      <w:numFmt w:val="decimal"/>
      <w:lvlText w:val="%3."/>
      <w:lvlJc w:val="left"/>
      <w:pPr>
        <w:ind w:left="2160" w:hanging="360"/>
      </w:pPr>
    </w:lvl>
    <w:lvl w:ilvl="3">
      <w:start w:val="2025"/>
      <w:numFmt w:val="decimal"/>
      <w:lvlText w:val="%4."/>
      <w:lvlJc w:val="left"/>
      <w:pPr>
        <w:ind w:left="2880" w:hanging="360"/>
      </w:pPr>
    </w:lvl>
    <w:lvl w:ilvl="4">
      <w:start w:val="2025"/>
      <w:numFmt w:val="decimal"/>
      <w:lvlText w:val="%5."/>
      <w:lvlJc w:val="left"/>
      <w:pPr>
        <w:ind w:left="3600" w:hanging="360"/>
      </w:pPr>
    </w:lvl>
    <w:lvl w:ilvl="5">
      <w:start w:val="2025"/>
      <w:numFmt w:val="decimal"/>
      <w:lvlText w:val="%6."/>
      <w:lvlJc w:val="left"/>
      <w:pPr>
        <w:ind w:left="4320" w:hanging="360"/>
      </w:pPr>
    </w:lvl>
    <w:lvl w:ilvl="6">
      <w:start w:val="2025"/>
      <w:numFmt w:val="decimal"/>
      <w:lvlText w:val="%7."/>
      <w:lvlJc w:val="left"/>
      <w:pPr>
        <w:ind w:left="5040" w:hanging="360"/>
      </w:pPr>
    </w:lvl>
    <w:lvl w:ilvl="7">
      <w:start w:val="2025"/>
      <w:numFmt w:val="decimal"/>
      <w:lvlText w:val="%8."/>
      <w:lvlJc w:val="left"/>
      <w:pPr>
        <w:ind w:left="5760" w:hanging="360"/>
      </w:pPr>
    </w:lvl>
    <w:lvl w:ilvl="8">
      <w:start w:val="2025"/>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025"/>
    <w:lvlOverride w:ilvl="0">
      <w:startOverride w:val="2025"/>
    </w:lvlOverride>
    <w:lvlOverride w:ilvl="1">
      <w:startOverride w:val="2025"/>
    </w:lvlOverride>
    <w:lvlOverride w:ilvl="2">
      <w:startOverride w:val="2025"/>
    </w:lvlOverride>
    <w:lvlOverride w:ilvl="3">
      <w:startOverride w:val="2025"/>
    </w:lvlOverride>
    <w:lvlOverride w:ilvl="4">
      <w:startOverride w:val="2025"/>
    </w:lvlOverride>
    <w:lvlOverride w:ilvl="5">
      <w:startOverride w:val="2025"/>
    </w:lvlOverride>
    <w:lvlOverride w:ilvl="6">
      <w:startOverride w:val="2025"/>
    </w:lvlOverride>
    <w:lvlOverride w:ilvl="7">
      <w:startOverride w:val="2025"/>
    </w:lvlOverride>
    <w:lvlOverride w:ilvl="8">
      <w:startOverride w:val="202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6" Target="media/rId26.png" /><Relationship Type="http://schemas.openxmlformats.org/officeDocument/2006/relationships/hyperlink" Id="rId46" Target="https://ghdx.healthdata.org/record/ihme-data/gbd-2019-disability-weights" TargetMode="External" /></Relationships>
</file>

<file path=word/_rels/footnotes.xml.rels><?xml version="1.0" encoding="UTF-8"?><Relationships xmlns="http://schemas.openxmlformats.org/package/2006/relationships"><Relationship Type="http://schemas.openxmlformats.org/officeDocument/2006/relationships/hyperlink" Id="rId46" Target="https://ghdx.healthdata.org/record/ihme-data/gbd-2019-disability-weigh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2026-04-29T20:39:59Z</dcterms:created>
  <dcterms:modified xsi:type="dcterms:W3CDTF">2026-04-29T20:39:59Z</dcterms:modified>
</cp:coreProperties>
</file>

<file path=docProps/custom.xml><?xml version="1.0" encoding="utf-8"?>
<Properties xmlns="http://schemas.openxmlformats.org/officeDocument/2006/custom-properties" xmlns:vt="http://schemas.openxmlformats.org/officeDocument/2006/docPropsVTypes"/>
</file>