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policy-brief"/>
    <w:p>
      <w:pPr>
        <w:pStyle w:val="Heading1"/>
      </w:pPr>
      <w:r>
        <w:t xml:space="preserve">Policy Brief</w:t>
      </w:r>
    </w:p>
    <w:bookmarkStart w:id="18" w:name="X99d7e2f2ec156052aae5cdd3386da11185986c7"/>
    <w:p>
      <w:pPr>
        <w:pStyle w:val="Heading2"/>
      </w:pPr>
      <w:r>
        <w:t xml:space="preserve">The Sentinel Firewall: Decoupling informal industrialization from lead exposure in LMICs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April 2026</w:t>
      </w:r>
    </w:p>
    <w:bookmarkStart w:id="9" w:name="executive-summary"/>
    <w:p>
      <w:pPr>
        <w:pStyle w:val="Heading3"/>
      </w:pPr>
      <w:r>
        <w:t xml:space="preserve">Executive summary</w:t>
      </w:r>
    </w:p>
    <w:p>
      <w:pPr>
        <w:pStyle w:val="FirstParagraph"/>
      </w:pPr>
      <w:r>
        <w:t xml:space="preserve">Lead exposure remains a major but often under-recognized driver of lost</w:t>
      </w:r>
      <w:r>
        <w:t xml:space="preserve"> </w:t>
      </w:r>
      <w:r>
        <w:t xml:space="preserve">human capital in low- and middle-income countries (LMICs). Although the</w:t>
      </w:r>
      <w:r>
        <w:t xml:space="preserve"> </w:t>
      </w:r>
      <w:r>
        <w:t xml:space="preserve">phase-out of leaded petrol was a major success, a large share of</w:t>
      </w:r>
      <w:r>
        <w:t xml:space="preserve"> </w:t>
      </w:r>
      <w:r>
        <w:t xml:space="preserve">remaining exposure now comes from informal consumer products that are</w:t>
      </w:r>
      <w:r>
        <w:t xml:space="preserve"> </w:t>
      </w:r>
      <w:r>
        <w:t xml:space="preserve">harder to regulate directly, including artisanal cookware, traditional</w:t>
      </w:r>
      <w:r>
        <w:t xml:space="preserve"> </w:t>
      </w:r>
      <w:r>
        <w:t xml:space="preserve">cosmetics such as kohl or surma, contaminated spices, and food-contact</w:t>
      </w:r>
      <w:r>
        <w:t xml:space="preserve"> </w:t>
      </w:r>
      <w:r>
        <w:t xml:space="preserve">items used by infants and young children. These hazards are often</w:t>
      </w:r>
      <w:r>
        <w:t xml:space="preserve"> </w:t>
      </w:r>
      <w:r>
        <w:t xml:space="preserve">invisible to households but can impose large long-run losses through</w:t>
      </w:r>
      <w:r>
        <w:t xml:space="preserve"> </w:t>
      </w:r>
      <w:r>
        <w:t xml:space="preserve">lower learning, lower earnings, and worse health.</w:t>
      </w:r>
    </w:p>
    <w:p>
      <w:pPr>
        <w:pStyle w:val="BodyText"/>
      </w:pPr>
      <w:r>
        <w:t xml:space="preserve">The Sentinel Firewall is a practical health-system strategy to reduce</w:t>
      </w:r>
      <w:r>
        <w:t xml:space="preserve"> </w:t>
      </w:r>
      <w:r>
        <w:t xml:space="preserve">harm while regulation and industrial upgrading catch up. It combines</w:t>
      </w:r>
      <w:r>
        <w:t xml:space="preserve"> </w:t>
      </w:r>
      <w:r>
        <w:rPr>
          <w:rStyle w:val="VerbatimChar"/>
        </w:rPr>
        <w:t xml:space="preserve">sentinel screening</w:t>
      </w:r>
      <w:r>
        <w:t xml:space="preserve"> </w:t>
      </w:r>
      <w:r>
        <w:t xml:space="preserve">to identify high-risk districts with</w:t>
      </w:r>
      <w:r>
        <w:t xml:space="preserve"> </w:t>
      </w:r>
      <w:r>
        <w:rPr>
          <w:rStyle w:val="VerbatimChar"/>
        </w:rPr>
        <w:t xml:space="preserve">safe-product substitution</w:t>
      </w:r>
      <w:r>
        <w:t xml:space="preserve"> </w:t>
      </w:r>
      <w:r>
        <w:t xml:space="preserve">delivered through existing maternal and</w:t>
      </w:r>
      <w:r>
        <w:t xml:space="preserve"> </w:t>
      </w:r>
      <w:r>
        <w:t xml:space="preserve">child health (MCH) contacts such as antenatal care (ANC), facility</w:t>
      </w:r>
      <w:r>
        <w:t xml:space="preserve"> </w:t>
      </w:r>
      <w:r>
        <w:t xml:space="preserve">delivery, and routine immunization. In plain terms: identify lead</w:t>
      </w:r>
      <w:r>
        <w:t xml:space="preserve"> </w:t>
      </w:r>
      <w:r>
        <w:t xml:space="preserve">hotspots, focus on pregnancy and early childhood, and use services that</w:t>
      </w:r>
      <w:r>
        <w:t xml:space="preserve"> </w:t>
      </w:r>
      <w:r>
        <w:t xml:space="preserve">already reach mothers and infants to get safer products into homes.</w:t>
      </w:r>
    </w:p>
    <w:p>
      <w:pPr>
        <w:pStyle w:val="BodyText"/>
      </w:pPr>
      <w:r>
        <w:t xml:space="preserve">Our economic model suggests that this approach can be cost-effective in</w:t>
      </w:r>
      <w:r>
        <w:t xml:space="preserve"> </w:t>
      </w:r>
      <w:r>
        <w:t xml:space="preserve">settings where hazardous products are common and implementation is</w:t>
      </w:r>
      <w:r>
        <w:t xml:space="preserve"> </w:t>
      </w:r>
      <w:r>
        <w:t xml:space="preserve">feasible. Using a 10,000-draw probabilistic sensitivity analysis with</w:t>
      </w:r>
      <w:r>
        <w:t xml:space="preserve"> </w:t>
      </w:r>
      <w:r>
        <w:t xml:space="preserve">parameter uncertainty, we estimate a median cognition-only benefit-cost</w:t>
      </w:r>
      <w:r>
        <w:t xml:space="preserve"> </w:t>
      </w:r>
      <w:r>
        <w:t xml:space="preserve">ratio of</w:t>
      </w:r>
      <w:r>
        <w:t xml:space="preserve"> </w:t>
      </w:r>
      <w:r>
        <w:rPr>
          <w:rStyle w:val="VerbatimChar"/>
        </w:rPr>
        <w:t xml:space="preserve">5.60</w:t>
      </w:r>
      <w:r>
        <w:t xml:space="preserve"> </w:t>
      </w:r>
      <w:r>
        <w:t xml:space="preserve">for a Kitchen Package and</w:t>
      </w:r>
      <w:r>
        <w:t xml:space="preserve"> </w:t>
      </w:r>
      <w:r>
        <w:rPr>
          <w:rStyle w:val="VerbatimChar"/>
        </w:rPr>
        <w:t xml:space="preserve">5.89</w:t>
      </w:r>
      <w:r>
        <w:t xml:space="preserve"> </w:t>
      </w:r>
      <w:r>
        <w:t xml:space="preserve">for a Kohl Package.</w:t>
      </w:r>
      <w:r>
        <w:t xml:space="preserve"> </w:t>
      </w:r>
      <w:r>
        <w:t xml:space="preserve">These figures should not be treated as universal. The model is best</w:t>
      </w:r>
      <w:r>
        <w:t xml:space="preserve"> </w:t>
      </w:r>
      <w:r>
        <w:t xml:space="preserve">understood as a demonstration that, using plausible LMIC values,</w:t>
      </w:r>
      <w:r>
        <w:t xml:space="preserve"> </w:t>
      </w:r>
      <w:r>
        <w:t xml:space="preserve">targeted substitution can generate favourable returns in high-risk</w:t>
      </w:r>
      <w:r>
        <w:t xml:space="preserve"> </w:t>
      </w:r>
      <w:r>
        <w:t xml:space="preserve">settings and as a tool that ministries, NGOs, and local researchers can</w:t>
      </w:r>
      <w:r>
        <w:t xml:space="preserve"> </w:t>
      </w:r>
      <w:r>
        <w:t xml:space="preserve">adapt using their own data.</w:t>
      </w:r>
    </w:p>
    <w:bookmarkEnd w:id="9"/>
    <w:bookmarkStart w:id="10" w:name="X80ab62b1aefb33d419720391eeceb9e5552c416"/>
    <w:p>
      <w:pPr>
        <w:pStyle w:val="Heading3"/>
      </w:pPr>
      <w:r>
        <w:t xml:space="preserve">The problem: the</w:t>
      </w:r>
      <w:r>
        <w:t xml:space="preserve"> </w:t>
      </w:r>
      <w:r>
        <w:t xml:space="preserve">“last mile”</w:t>
      </w:r>
      <w:r>
        <w:t xml:space="preserve"> </w:t>
      </w:r>
      <w:r>
        <w:t xml:space="preserve">of lead exposure</w:t>
      </w:r>
    </w:p>
    <w:p>
      <w:pPr>
        <w:pStyle w:val="FirstParagraph"/>
      </w:pPr>
      <w:r>
        <w:t xml:space="preserve">Lead remains a major source of neurodevelopmental and cardiovascular</w:t>
      </w:r>
      <w:r>
        <w:t xml:space="preserve"> </w:t>
      </w:r>
      <w:r>
        <w:t xml:space="preserve">harm. In many LMIC settings, an important share of exposure no longer</w:t>
      </w:r>
      <w:r>
        <w:t xml:space="preserve"> </w:t>
      </w:r>
      <w:r>
        <w:t xml:space="preserve">comes from large, easily regulated industrial sources alone, but from</w:t>
      </w:r>
      <w:r>
        <w:t xml:space="preserve"> </w:t>
      </w:r>
      <w:r>
        <w:t xml:space="preserve">informal supply chains and household products that sit beyond the</w:t>
      </w:r>
      <w:r>
        <w:t xml:space="preserve"> </w:t>
      </w:r>
      <w:r>
        <w:t xml:space="preserve">effective reach of standard enforcement. Households often cannot tell</w:t>
      </w:r>
      <w:r>
        <w:t xml:space="preserve"> </w:t>
      </w:r>
      <w:r>
        <w:t xml:space="preserve">which products are unsafe. Lead has no useful taste or smell, harms are</w:t>
      </w:r>
      <w:r>
        <w:t xml:space="preserve"> </w:t>
      </w:r>
      <w:r>
        <w:t xml:space="preserve">rarely visible in the short term, and the greatest losses often appear</w:t>
      </w:r>
      <w:r>
        <w:t xml:space="preserve"> </w:t>
      </w:r>
      <w:r>
        <w:t xml:space="preserve">years later.</w:t>
      </w:r>
    </w:p>
    <w:p>
      <w:pPr>
        <w:pStyle w:val="BodyText"/>
      </w:pPr>
      <w:r>
        <w:t xml:space="preserve">Pregnancy, infancy, and early childhood are especially important</w:t>
      </w:r>
      <w:r>
        <w:t xml:space="preserve"> </w:t>
      </w:r>
      <w:r>
        <w:t xml:space="preserve">windows. Lead stored in maternal bone can enter the bloodstream during</w:t>
      </w:r>
      <w:r>
        <w:t xml:space="preserve"> </w:t>
      </w:r>
      <w:r>
        <w:t xml:space="preserve">pregnancy and lactation. Infants and toddlers absorb more ingested lead</w:t>
      </w:r>
      <w:r>
        <w:t xml:space="preserve"> </w:t>
      </w:r>
      <w:r>
        <w:t xml:space="preserve">than adults. This makes maternal and child health platforms a natural</w:t>
      </w:r>
      <w:r>
        <w:t xml:space="preserve"> </w:t>
      </w:r>
      <w:r>
        <w:t xml:space="preserve">place to look for near-term protective interventions.</w:t>
      </w:r>
    </w:p>
    <w:bookmarkEnd w:id="10"/>
    <w:bookmarkStart w:id="11" w:name="the-sentinel-firewall-framework"/>
    <w:p>
      <w:pPr>
        <w:pStyle w:val="Heading3"/>
      </w:pPr>
      <w:r>
        <w:t xml:space="preserve">The Sentinel Firewall framework</w:t>
      </w:r>
    </w:p>
    <w:p>
      <w:pPr>
        <w:pStyle w:val="FirstParagraph"/>
      </w:pPr>
      <w:r>
        <w:t xml:space="preserve">The Sentinel Firewall has three linked steps: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Identify</w:t>
      </w:r>
      <w:r>
        <w:t xml:space="preserve">: use sentinel blood testing, market screening with XRF,</w:t>
      </w:r>
      <w:r>
        <w:t xml:space="preserve"> </w:t>
      </w:r>
      <w:r>
        <w:t xml:space="preserve">or related surveillance to identify districts or catchments where unsafe</w:t>
      </w:r>
      <w:r>
        <w:t xml:space="preserve"> </w:t>
      </w:r>
      <w:r>
        <w:t xml:space="preserve">products are common.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Target</w:t>
      </w:r>
      <w:r>
        <w:t xml:space="preserve">: focus on the first 1,000 days by reaching households during</w:t>
      </w:r>
      <w:r>
        <w:t xml:space="preserve"> </w:t>
      </w:r>
      <w:r>
        <w:t xml:space="preserve">pregnancy, delivery, and infancy.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Deploy</w:t>
      </w:r>
      <w:r>
        <w:t xml:space="preserve">: use ANC, delivery, and immunization contacts to distribute</w:t>
      </w:r>
      <w:r>
        <w:t xml:space="preserve"> </w:t>
      </w:r>
      <w:r>
        <w:t xml:space="preserve">safe products or vouchers.</w:t>
      </w:r>
    </w:p>
    <w:p>
      <w:pPr>
        <w:pStyle w:val="FirstParagraph"/>
      </w:pPr>
      <w:r>
        <w:t xml:space="preserve">In practice, this could include:</w:t>
      </w:r>
    </w:p>
    <w:p>
      <w:pPr>
        <w:pStyle w:val="Compact"/>
        <w:numPr>
          <w:ilvl w:val="0"/>
          <w:numId w:val="1002"/>
        </w:numPr>
      </w:pPr>
      <w:r>
        <w:t xml:space="preserve">a safe pot voucher plus calcium during ANC</w:t>
      </w:r>
    </w:p>
    <w:p>
      <w:pPr>
        <w:pStyle w:val="Compact"/>
        <w:numPr>
          <w:ilvl w:val="0"/>
          <w:numId w:val="1002"/>
        </w:numPr>
      </w:pPr>
      <w:r>
        <w:t xml:space="preserve">safe child utensils during infant immunization</w:t>
      </w:r>
    </w:p>
    <w:p>
      <w:pPr>
        <w:pStyle w:val="Compact"/>
        <w:numPr>
          <w:ilvl w:val="0"/>
          <w:numId w:val="1002"/>
        </w:numPr>
      </w:pPr>
      <w:r>
        <w:t xml:space="preserve">safe maternal and infant kohl substitutes where leaded kohl is common</w:t>
      </w:r>
    </w:p>
    <w:p>
      <w:pPr>
        <w:pStyle w:val="FirstParagraph"/>
      </w:pPr>
      <w:r>
        <w:t xml:space="preserve">This is not a substitute for regulation. It is a transitional,</w:t>
      </w:r>
      <w:r>
        <w:t xml:space="preserve"> </w:t>
      </w:r>
      <w:r>
        <w:t xml:space="preserve">harm-reduction strategy that buys time while also generating better</w:t>
      </w:r>
      <w:r>
        <w:t xml:space="preserve"> </w:t>
      </w:r>
      <w:r>
        <w:t xml:space="preserve">information about which products, markets, and suppliers require</w:t>
      </w:r>
      <w:r>
        <w:t xml:space="preserve"> </w:t>
      </w:r>
      <w:r>
        <w:t xml:space="preserve">enforcement or producer upgrading.</w:t>
      </w:r>
    </w:p>
    <w:bookmarkEnd w:id="11"/>
    <w:bookmarkStart w:id="12" w:name="what-the-model-shows"/>
    <w:p>
      <w:pPr>
        <w:pStyle w:val="Heading3"/>
      </w:pPr>
      <w:r>
        <w:t xml:space="preserve">What the model shows</w:t>
      </w:r>
    </w:p>
    <w:p>
      <w:pPr>
        <w:pStyle w:val="FirstParagraph"/>
      </w:pPr>
      <w:r>
        <w:t xml:space="preserve">The model evaluates two intervention packages intended to replace common</w:t>
      </w:r>
      <w:r>
        <w:t xml:space="preserve"> </w:t>
      </w:r>
      <w:r>
        <w:t xml:space="preserve">exposure sources in high-risk settings. It draws parameter values from</w:t>
      </w:r>
      <w:r>
        <w:t xml:space="preserve"> </w:t>
      </w:r>
      <w:r>
        <w:t xml:space="preserve">the literature and explicitly models uncertainty around biological</w:t>
      </w:r>
      <w:r>
        <w:t xml:space="preserve"> </w:t>
      </w:r>
      <w:r>
        <w:t xml:space="preserve">effects, implementation losses, costs, discounting, and the mapping from</w:t>
      </w:r>
      <w:r>
        <w:t xml:space="preserve"> </w:t>
      </w:r>
      <w:r>
        <w:t xml:space="preserve">blood lead to IQ and lifetime earnings.</w:t>
      </w:r>
    </w:p>
    <w:p>
      <w:pPr>
        <w:pStyle w:val="BodyText"/>
      </w:pPr>
      <w:r>
        <w:t xml:space="preserve">It also accounts for real-world implementation frictions: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Targeting</w:t>
      </w:r>
      <w:r>
        <w:t xml:space="preserve">: unsafe products are not used by every household in a</w:t>
      </w:r>
      <w:r>
        <w:t xml:space="preserve"> </w:t>
      </w:r>
      <w:r>
        <w:t xml:space="preserve">screened district.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Health-system fidelity</w:t>
      </w:r>
      <w:r>
        <w:t xml:space="preserve">: the relevant visit must occur, the product</w:t>
      </w:r>
      <w:r>
        <w:t xml:space="preserve"> </w:t>
      </w:r>
      <w:r>
        <w:t xml:space="preserve">or voucher must be available, and the intervention must actually be</w:t>
      </w:r>
      <w:r>
        <w:t xml:space="preserve"> </w:t>
      </w:r>
      <w:r>
        <w:t xml:space="preserve">delivered.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Redemption and adherence</w:t>
      </w:r>
      <w:r>
        <w:t xml:space="preserve">: vouchers must be redeemed and caregivers</w:t>
      </w:r>
      <w:r>
        <w:t xml:space="preserve"> </w:t>
      </w:r>
      <w:r>
        <w:t xml:space="preserve">must use the safe product for the pregnant or nursing woman and the</w:t>
      </w:r>
      <w:r>
        <w:t xml:space="preserve"> </w:t>
      </w:r>
      <w:r>
        <w:t xml:space="preserve">young child.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Residual unsafe use</w:t>
      </w:r>
      <w:r>
        <w:t xml:space="preserve">: some households continue to use the unsafe</w:t>
      </w:r>
      <w:r>
        <w:t xml:space="preserve"> </w:t>
      </w:r>
      <w:r>
        <w:t xml:space="preserve">product alongside the replacement.</w:t>
      </w:r>
    </w:p>
    <w:p>
      <w:pPr>
        <w:pStyle w:val="FirstParagraph"/>
      </w:pPr>
      <w:r>
        <w:t xml:space="preserve">Even after allowing for these frictions, the model suggests favourable</w:t>
      </w:r>
      <w:r>
        <w:t xml:space="preserve"> </w:t>
      </w:r>
      <w:r>
        <w:t xml:space="preserve">returns in high-risk settings.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97"/>
        <w:gridCol w:w="1697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Package</w:t>
            </w:r>
          </w:p>
        </w:tc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BCR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5th-95th percentile range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Kitchen Package</w:t>
            </w:r>
          </w:p>
        </w:tc>
        <w:tc>
          <w:tcPr/>
          <w:p>
            <w:pPr>
              <w:pStyle w:val="Compact"/>
            </w:pPr>
            <w:r>
              <w:t xml:space="preserve">Safe pot voucher, calcium supplementation, safe child utensils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2.00-15.30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Kohl Package</w:t>
            </w:r>
          </w:p>
        </w:tc>
        <w:tc>
          <w:tcPr/>
          <w:p>
            <w:pPr>
              <w:pStyle w:val="Compact"/>
            </w:pPr>
            <w:r>
              <w:t xml:space="preserve">Lead-free maternal and infant kohl substitutes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1.83-17.17</w:t>
            </w:r>
          </w:p>
        </w:tc>
      </w:tr>
    </w:tbl>
    <w:p>
      <w:pPr>
        <w:pStyle w:val="BodyText"/>
      </w:pPr>
      <w:r>
        <w:t xml:space="preserve">These estimates reflect cognition-related lifetime earnings only. They</w:t>
      </w:r>
      <w:r>
        <w:t xml:space="preserve"> </w:t>
      </w:r>
      <w:r>
        <w:t xml:space="preserve">do not headline several additional channels that may matter in practice,</w:t>
      </w:r>
      <w:r>
        <w:t xml:space="preserve"> </w:t>
      </w:r>
      <w:r>
        <w:t xml:space="preserve">including maternal and neonatal benefits and adult cardiovascular</w:t>
      </w:r>
      <w:r>
        <w:t xml:space="preserve"> </w:t>
      </w:r>
      <w:r>
        <w:t xml:space="preserve">benefits. At the same time, the model should be read cautiously: it is</w:t>
      </w:r>
      <w:r>
        <w:t xml:space="preserve"> </w:t>
      </w:r>
      <w:r>
        <w:t xml:space="preserve">an illustration using plausible LMIC values, not a claim that one</w:t>
      </w:r>
      <w:r>
        <w:t xml:space="preserve"> </w:t>
      </w:r>
      <w:r>
        <w:t xml:space="preserve">benefit-cost ratio applies everywhere.</w:t>
      </w:r>
    </w:p>
    <w:bookmarkEnd w:id="12"/>
    <w:bookmarkStart w:id="13" w:name="why-local-adaptation-matters"/>
    <w:p>
      <w:pPr>
        <w:pStyle w:val="Heading3"/>
      </w:pPr>
      <w:r>
        <w:t xml:space="preserve">Why local adaptation matters</w:t>
      </w:r>
    </w:p>
    <w:p>
      <w:pPr>
        <w:pStyle w:val="FirstParagraph"/>
      </w:pPr>
      <w:r>
        <w:t xml:space="preserve">The most important policy message is not that these exact numbers apply</w:t>
      </w:r>
      <w:r>
        <w:t xml:space="preserve"> </w:t>
      </w:r>
      <w:r>
        <w:t xml:space="preserve">to every country or district. It is that ministries of health, NGOs,</w:t>
      </w:r>
      <w:r>
        <w:t xml:space="preserve"> </w:t>
      </w:r>
      <w:r>
        <w:t xml:space="preserve">and local researchers can use the framework to test whether substitution</w:t>
      </w:r>
      <w:r>
        <w:t xml:space="preserve"> </w:t>
      </w:r>
      <w:r>
        <w:t xml:space="preserve">makes sense in their own setting.</w:t>
      </w:r>
    </w:p>
    <w:p>
      <w:pPr>
        <w:pStyle w:val="BodyText"/>
      </w:pPr>
      <w:r>
        <w:t xml:space="preserve">The strongest local drivers of cost-effectiveness are likely to be:</w:t>
      </w:r>
    </w:p>
    <w:p>
      <w:pPr>
        <w:pStyle w:val="Compact"/>
        <w:numPr>
          <w:ilvl w:val="0"/>
          <w:numId w:val="1004"/>
        </w:numPr>
      </w:pPr>
      <w:r>
        <w:t xml:space="preserve">how common the hazardous product really is in the targeted area</w:t>
      </w:r>
    </w:p>
    <w:p>
      <w:pPr>
        <w:pStyle w:val="Compact"/>
        <w:numPr>
          <w:ilvl w:val="0"/>
          <w:numId w:val="1004"/>
        </w:numPr>
      </w:pPr>
      <w:r>
        <w:t xml:space="preserve">whether ANC, delivery, or immunization contacts reach the intended</w:t>
      </w:r>
      <w:r>
        <w:t xml:space="preserve"> </w:t>
      </w:r>
      <w:r>
        <w:t xml:space="preserve">population</w:t>
      </w:r>
    </w:p>
    <w:p>
      <w:pPr>
        <w:pStyle w:val="Compact"/>
        <w:numPr>
          <w:ilvl w:val="0"/>
          <w:numId w:val="1004"/>
        </w:numPr>
      </w:pPr>
      <w:r>
        <w:t xml:space="preserve">whether facilities and approved retailers actually have stock</w:t>
      </w:r>
    </w:p>
    <w:p>
      <w:pPr>
        <w:pStyle w:val="Compact"/>
        <w:numPr>
          <w:ilvl w:val="0"/>
          <w:numId w:val="1004"/>
        </w:numPr>
      </w:pPr>
      <w:r>
        <w:t xml:space="preserve">whether beneficiaries redeem vouchers and use the safe replacement</w:t>
      </w:r>
    </w:p>
    <w:p>
      <w:pPr>
        <w:pStyle w:val="Compact"/>
        <w:numPr>
          <w:ilvl w:val="0"/>
          <w:numId w:val="1004"/>
        </w:numPr>
      </w:pPr>
      <w:r>
        <w:t xml:space="preserve">the local cost of safe products and programme delivery</w:t>
      </w:r>
    </w:p>
    <w:p>
      <w:pPr>
        <w:pStyle w:val="Compact"/>
        <w:numPr>
          <w:ilvl w:val="0"/>
          <w:numId w:val="1004"/>
        </w:numPr>
      </w:pPr>
      <w:r>
        <w:t xml:space="preserve">the observed reduction in maternal or child blood lead</w:t>
      </w:r>
    </w:p>
    <w:p>
      <w:pPr>
        <w:pStyle w:val="FirstParagraph"/>
      </w:pPr>
      <w:r>
        <w:t xml:space="preserve">If the hazardous product is uncommon, if the safe substitute is</w:t>
      </w:r>
      <w:r>
        <w:t xml:space="preserve"> </w:t>
      </w:r>
      <w:r>
        <w:t xml:space="preserve">expensive, or if uptake is poor, the case for scale-up weakens quickly.</w:t>
      </w:r>
      <w:r>
        <w:t xml:space="preserve"> </w:t>
      </w:r>
      <w:r>
        <w:t xml:space="preserve">But where hotspots can be identified and delivery is feasible, the</w:t>
      </w:r>
      <w:r>
        <w:t xml:space="preserve"> </w:t>
      </w:r>
      <w:r>
        <w:t xml:space="preserve">returns may be substantial.</w:t>
      </w:r>
    </w:p>
    <w:bookmarkEnd w:id="13"/>
    <w:bookmarkStart w:id="14" w:name="what-a-pilot-should-do"/>
    <w:p>
      <w:pPr>
        <w:pStyle w:val="Heading3"/>
      </w:pPr>
      <w:r>
        <w:t xml:space="preserve">What a pilot should do</w:t>
      </w:r>
    </w:p>
    <w:p>
      <w:pPr>
        <w:pStyle w:val="FirstParagraph"/>
      </w:pPr>
      <w:r>
        <w:t xml:space="preserve">It is straightforward to pilot these interventions in districts known to</w:t>
      </w:r>
      <w:r>
        <w:t xml:space="preserve"> </w:t>
      </w:r>
      <w:r>
        <w:t xml:space="preserve">have high use of unsafe products. A good pilot should do more than hand</w:t>
      </w:r>
      <w:r>
        <w:t xml:space="preserve"> </w:t>
      </w:r>
      <w:r>
        <w:t xml:space="preserve">out products. It should measure both the implementation chain and the</w:t>
      </w:r>
      <w:r>
        <w:t xml:space="preserve"> </w:t>
      </w:r>
      <w:r>
        <w:t xml:space="preserve">biological response. Useful pilot metrics include:</w:t>
      </w:r>
    </w:p>
    <w:p>
      <w:pPr>
        <w:pStyle w:val="Compact"/>
        <w:numPr>
          <w:ilvl w:val="0"/>
          <w:numId w:val="1005"/>
        </w:numPr>
      </w:pPr>
      <w:r>
        <w:t xml:space="preserve">contamination of products in local markets</w:t>
      </w:r>
    </w:p>
    <w:p>
      <w:pPr>
        <w:pStyle w:val="Compact"/>
        <w:numPr>
          <w:ilvl w:val="0"/>
          <w:numId w:val="1005"/>
        </w:numPr>
      </w:pPr>
      <w:r>
        <w:t xml:space="preserve">prevalence of unsafe product use in targeted households</w:t>
      </w:r>
    </w:p>
    <w:p>
      <w:pPr>
        <w:pStyle w:val="Compact"/>
        <w:numPr>
          <w:ilvl w:val="0"/>
          <w:numId w:val="1005"/>
        </w:numPr>
      </w:pPr>
      <w:r>
        <w:t xml:space="preserve">ANC, delivery, and immunization reach</w:t>
      </w:r>
    </w:p>
    <w:p>
      <w:pPr>
        <w:pStyle w:val="Compact"/>
        <w:numPr>
          <w:ilvl w:val="0"/>
          <w:numId w:val="1005"/>
        </w:numPr>
      </w:pPr>
      <w:r>
        <w:t xml:space="preserve">voucher issuance, merchant stock, and redemption</w:t>
      </w:r>
    </w:p>
    <w:p>
      <w:pPr>
        <w:pStyle w:val="Compact"/>
        <w:numPr>
          <w:ilvl w:val="0"/>
          <w:numId w:val="1005"/>
        </w:numPr>
      </w:pPr>
      <w:r>
        <w:t xml:space="preserve">sustained use of the safe product by pregnant women and young children</w:t>
      </w:r>
    </w:p>
    <w:p>
      <w:pPr>
        <w:pStyle w:val="Compact"/>
        <w:numPr>
          <w:ilvl w:val="0"/>
          <w:numId w:val="1005"/>
        </w:numPr>
      </w:pPr>
      <w:r>
        <w:t xml:space="preserve">continued use of the unsafe product after substitution</w:t>
      </w:r>
    </w:p>
    <w:p>
      <w:pPr>
        <w:pStyle w:val="Compact"/>
        <w:numPr>
          <w:ilvl w:val="0"/>
          <w:numId w:val="1005"/>
        </w:numPr>
      </w:pPr>
      <w:r>
        <w:t xml:space="preserve">maternal or child blood lead response where feasible</w:t>
      </w:r>
    </w:p>
    <w:p>
      <w:pPr>
        <w:pStyle w:val="FirstParagraph"/>
      </w:pPr>
      <w:r>
        <w:t xml:space="preserve">Even a modest pilot can improve the realism of the economic analysis by</w:t>
      </w:r>
      <w:r>
        <w:t xml:space="preserve"> </w:t>
      </w:r>
      <w:r>
        <w:t xml:space="preserve">sharpening estimates of targeting, delivery fidelity, redemption, and</w:t>
      </w:r>
      <w:r>
        <w:t xml:space="preserve"> </w:t>
      </w:r>
      <w:r>
        <w:t xml:space="preserve">adherence. Larger pilots can test whether blood lead levels respond as</w:t>
      </w:r>
      <w:r>
        <w:t xml:space="preserve"> </w:t>
      </w:r>
      <w:r>
        <w:t xml:space="preserve">expected.</w:t>
      </w:r>
    </w:p>
    <w:bookmarkEnd w:id="14"/>
    <w:bookmarkStart w:id="15" w:name="what-decision-makers-can-use-now"/>
    <w:p>
      <w:pPr>
        <w:pStyle w:val="Heading3"/>
      </w:pPr>
      <w:r>
        <w:t xml:space="preserve">What decision-makers can use now</w:t>
      </w:r>
    </w:p>
    <w:p>
      <w:pPr>
        <w:pStyle w:val="FirstParagraph"/>
      </w:pPr>
      <w:r>
        <w:t xml:space="preserve">This project includes two practical planning tools: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w:r>
        <w:rPr>
          <w:rStyle w:val="VerbatimChar"/>
        </w:rPr>
        <w:t xml:space="preserve">Python model</w:t>
      </w:r>
      <w:r>
        <w:t xml:space="preserve"> </w:t>
      </w:r>
      <w:r>
        <w:t xml:space="preserve">for full probabilistic sensitivity analysis</w:t>
      </w:r>
    </w:p>
    <w:p>
      <w:pPr>
        <w:pStyle w:val="Compact"/>
        <w:numPr>
          <w:ilvl w:val="0"/>
          <w:numId w:val="1006"/>
        </w:numPr>
      </w:pPr>
      <w:r>
        <w:t xml:space="preserve">an</w:t>
      </w:r>
      <w:r>
        <w:t xml:space="preserve"> </w:t>
      </w:r>
      <w:r>
        <w:rPr>
          <w:rStyle w:val="VerbatimChar"/>
        </w:rPr>
        <w:t xml:space="preserve">Excel workbook</w:t>
      </w:r>
      <w:r>
        <w:t xml:space="preserve"> </w:t>
      </w:r>
      <w:r>
        <w:t xml:space="preserve">for simpler local adaptation using modal values</w:t>
      </w:r>
    </w:p>
    <w:p>
      <w:pPr>
        <w:pStyle w:val="FirstParagraph"/>
      </w:pPr>
      <w:r>
        <w:t xml:space="preserve">The spreadsheet is designed for users who want to replace default values</w:t>
      </w:r>
      <w:r>
        <w:t xml:space="preserve"> </w:t>
      </w:r>
      <w:r>
        <w:t xml:space="preserve">with their own local assumptions about prices, attendance, prevalence,</w:t>
      </w:r>
      <w:r>
        <w:t xml:space="preserve"> </w:t>
      </w:r>
      <w:r>
        <w:t xml:space="preserve">delivery quality, and product use. In that sense, the Sentinel Firewall</w:t>
      </w:r>
      <w:r>
        <w:t xml:space="preserve"> </w:t>
      </w:r>
      <w:r>
        <w:t xml:space="preserve">is not only a research paper. It is also a decision tool for ministries,</w:t>
      </w:r>
      <w:r>
        <w:t xml:space="preserve"> </w:t>
      </w:r>
      <w:r>
        <w:t xml:space="preserve">NGOs, and local investigators asking whether safe-product substitution</w:t>
      </w:r>
      <w:r>
        <w:t xml:space="preserve"> </w:t>
      </w:r>
      <w:r>
        <w:t xml:space="preserve">is worth piloting or scaling in their own setting.</w:t>
      </w:r>
    </w:p>
    <w:bookmarkEnd w:id="15"/>
    <w:bookmarkStart w:id="16" w:name="policy-recommendations"/>
    <w:p>
      <w:pPr>
        <w:pStyle w:val="Heading3"/>
      </w:pPr>
      <w:r>
        <w:t xml:space="preserve">Policy recommendations</w:t>
      </w:r>
    </w:p>
    <w:p>
      <w:pPr>
        <w:pStyle w:val="Compact"/>
        <w:numPr>
          <w:ilvl w:val="0"/>
          <w:numId w:val="1007"/>
        </w:numPr>
      </w:pPr>
      <w:r>
        <w:t xml:space="preserve">Add lead-relevant surveillance to existing systems, including market</w:t>
      </w:r>
      <w:r>
        <w:t xml:space="preserve"> </w:t>
      </w:r>
      <w:r>
        <w:t xml:space="preserve">screening and, where feasible, blood lead testing in sentinel surveys or</w:t>
      </w:r>
      <w:r>
        <w:t xml:space="preserve"> </w:t>
      </w:r>
      <w:r>
        <w:t xml:space="preserve">high-risk districts.</w:t>
      </w:r>
    </w:p>
    <w:p>
      <w:pPr>
        <w:pStyle w:val="Compact"/>
        <w:numPr>
          <w:ilvl w:val="0"/>
          <w:numId w:val="1007"/>
        </w:numPr>
      </w:pPr>
      <w:r>
        <w:t xml:space="preserve">Use existing MCH infrastructure rather than creating a parallel</w:t>
      </w:r>
      <w:r>
        <w:t xml:space="preserve"> </w:t>
      </w:r>
      <w:r>
        <w:t xml:space="preserve">delivery system.</w:t>
      </w:r>
    </w:p>
    <w:p>
      <w:pPr>
        <w:pStyle w:val="Compact"/>
        <w:numPr>
          <w:ilvl w:val="0"/>
          <w:numId w:val="1007"/>
        </w:numPr>
      </w:pPr>
      <w:r>
        <w:t xml:space="preserve">Start with pilots in districts where unsafe products are already known</w:t>
      </w:r>
      <w:r>
        <w:t xml:space="preserve"> </w:t>
      </w:r>
      <w:r>
        <w:t xml:space="preserve">or strongly suspected to be common.</w:t>
      </w:r>
    </w:p>
    <w:p>
      <w:pPr>
        <w:pStyle w:val="Compact"/>
        <w:numPr>
          <w:ilvl w:val="0"/>
          <w:numId w:val="1007"/>
        </w:numPr>
      </w:pPr>
      <w:r>
        <w:t xml:space="preserve">Measure the full implementation chain, not just product distribution.</w:t>
      </w:r>
    </w:p>
    <w:p>
      <w:pPr>
        <w:pStyle w:val="Compact"/>
        <w:numPr>
          <w:ilvl w:val="0"/>
          <w:numId w:val="1007"/>
        </w:numPr>
      </w:pPr>
      <w:r>
        <w:t xml:space="preserve">Scale only where local evidence shows both feasible delivery and a</w:t>
      </w:r>
      <w:r>
        <w:t xml:space="preserve"> </w:t>
      </w:r>
      <w:r>
        <w:t xml:space="preserve">meaningful biological response.</w:t>
      </w:r>
    </w:p>
    <w:bookmarkEnd w:id="16"/>
    <w:bookmarkStart w:id="17" w:name="bottom-line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Governments do not need to wait for full industrial formalization to</w:t>
      </w:r>
      <w:r>
        <w:t xml:space="preserve"> </w:t>
      </w:r>
      <w:r>
        <w:t xml:space="preserve">begin protecting children from lead. In places where unsafe cookware,</w:t>
      </w:r>
      <w:r>
        <w:t xml:space="preserve"> </w:t>
      </w:r>
      <w:r>
        <w:t xml:space="preserve">leaded kohl, or other informal consumer-product hazards are common,</w:t>
      </w:r>
      <w:r>
        <w:t xml:space="preserve"> </w:t>
      </w:r>
      <w:r>
        <w:t xml:space="preserve">targeted safe-product substitution through maternal and child health</w:t>
      </w:r>
      <w:r>
        <w:t xml:space="preserve"> </w:t>
      </w:r>
      <w:r>
        <w:t xml:space="preserve">contacts may offer a practical near-term way to reduce fetal and</w:t>
      </w:r>
      <w:r>
        <w:t xml:space="preserve"> </w:t>
      </w:r>
      <w:r>
        <w:t xml:space="preserve">early-childhood exposure. The Sentinel Firewall should therefore be used</w:t>
      </w:r>
      <w:r>
        <w:t xml:space="preserve"> </w:t>
      </w:r>
      <w:r>
        <w:t xml:space="preserve">in two ways: as a demonstration that such interventions can be</w:t>
      </w:r>
      <w:r>
        <w:t xml:space="preserve"> </w:t>
      </w:r>
      <w:r>
        <w:t xml:space="preserve">cost-effective in typical high-risk LMIC settings, and as a tool that</w:t>
      </w:r>
      <w:r>
        <w:t xml:space="preserve"> </w:t>
      </w:r>
      <w:r>
        <w:t xml:space="preserve">local decision-makers can adapt with their own data to decide where the</w:t>
      </w:r>
      <w:r>
        <w:t xml:space="preserve"> </w:t>
      </w:r>
      <w:r>
        <w:t xml:space="preserve">case for action is strongest.</w:t>
      </w:r>
    </w:p>
    <w:bookmarkEnd w:id="17"/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2026-04-27T21:07:50Z</dcterms:created>
  <dcterms:modified xsi:type="dcterms:W3CDTF">2026-04-27T21:07:50Z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