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heers-2022-checklist"/>
    <w:p>
      <w:pPr>
        <w:pStyle w:val="Heading1"/>
      </w:pPr>
      <w:r>
        <w:t xml:space="preserve">CHEERS 2022 Checklist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The Sentinel Firewall: a model-based economic evaluation of safe-product substitution to reduce lead exposure in LMICs</w:t>
      </w:r>
    </w:p>
    <w:p>
      <w:pPr>
        <w:pStyle w:val="BodyText"/>
      </w:pPr>
      <w:r>
        <w:t xml:space="preserve">Status key: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Complete</w:t>
      </w:r>
      <w:r>
        <w:t xml:space="preserve">: addressed explicitly in the manuscript or appendix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Not applicable</w:t>
      </w:r>
      <w:r>
        <w:t xml:space="preserve">: not applicable to this study design, with explanation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Identifies the study as a model-based economic evaluation.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Structured abstract with introduction, methods, results and conclusion.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and objectives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Introduction; Methods</w:t>
            </w:r>
          </w:p>
        </w:tc>
        <w:tc>
          <w:tcPr/>
          <w:p>
            <w:pPr>
              <w:pStyle w:val="Compact"/>
            </w:pPr>
            <w:r>
              <w:t xml:space="preserve">Policy problem, motivation and objective are stated clearly.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economic analysis plan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introductory CHEERS paragraph</w:t>
            </w:r>
          </w:p>
        </w:tc>
        <w:tc>
          <w:tcPr/>
          <w:p>
            <w:pPr>
              <w:pStyle w:val="Compact"/>
            </w:pPr>
            <w:r>
              <w:t xml:space="preserve">States that no prespecified analysis plan was registered and that assumptions were developed iteratively and documented publicly.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population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Setting, perspective, time horizon and currency</w:t>
            </w:r>
          </w:p>
        </w:tc>
        <w:tc>
          <w:tcPr/>
          <w:p>
            <w:pPr>
              <w:pStyle w:val="Compact"/>
            </w:pPr>
            <w:r>
              <w:t xml:space="preserve">Mother-child pair is the main analytic unit; adult spillovers are also specified.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and location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Introduction; Methods</w:t>
            </w:r>
          </w:p>
        </w:tc>
        <w:tc>
          <w:tcPr/>
          <w:p>
            <w:pPr>
              <w:pStyle w:val="Compact"/>
            </w:pPr>
            <w:r>
              <w:t xml:space="preserve">Sentinel-identified high-risk LMIC districts/catchments are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Comparators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Study design, decision problem and comparator</w:t>
            </w:r>
          </w:p>
        </w:tc>
        <w:tc>
          <w:tcPr/>
          <w:p>
            <w:pPr>
              <w:pStyle w:val="Compact"/>
            </w:pPr>
            <w:r>
              <w:t xml:space="preserve">Comparator is current practice without Sentinel Firewall substitution.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Perspective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Setting, perspective, time horizon and currency</w:t>
            </w:r>
          </w:p>
        </w:tc>
        <w:tc>
          <w:tcPr/>
          <w:p>
            <w:pPr>
              <w:pStyle w:val="Compact"/>
            </w:pPr>
            <w:r>
              <w:t xml:space="preserve">Social perspective is stated explicitly.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Setting, perspective, time horizon and currency</w:t>
            </w:r>
          </w:p>
        </w:tc>
        <w:tc>
          <w:tcPr/>
          <w:p>
            <w:pPr>
              <w:pStyle w:val="Compact"/>
            </w:pPr>
            <w:r>
              <w:t xml:space="preserve">Working-life and pathway-specific horizons are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Measurement and valuation of outcomes</w:t>
            </w:r>
          </w:p>
        </w:tc>
        <w:tc>
          <w:tcPr/>
          <w:p>
            <w:pPr>
              <w:pStyle w:val="Compact"/>
            </w:pPr>
            <w:r>
              <w:t xml:space="preserve">Discounting and the social discount-rate range are reported.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of outcomes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Measurement and valuation of outcomes; Broader health consequences</w:t>
            </w:r>
          </w:p>
        </w:tc>
        <w:tc>
          <w:tcPr/>
          <w:p>
            <w:pPr>
              <w:pStyle w:val="Compact"/>
            </w:pPr>
            <w:r>
              <w:t xml:space="preserve">Cognition-only, maternal/neonatal, and total benefit-cost outcomes are defined.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of outcomes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Measurement and valuation of outcomes</w:t>
            </w:r>
          </w:p>
        </w:tc>
        <w:tc>
          <w:tcPr/>
          <w:p>
            <w:pPr>
              <w:pStyle w:val="Compact"/>
            </w:pPr>
            <w:r>
              <w:t xml:space="preserve">Blood lead to IQ to earnings mapping is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 of outcomes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Measurement and valuation of outcomes; Broader health consequences</w:t>
            </w:r>
          </w:p>
        </w:tc>
        <w:tc>
          <w:tcPr/>
          <w:p>
            <w:pPr>
              <w:pStyle w:val="Compact"/>
            </w:pPr>
            <w:r>
              <w:t xml:space="preserve">Earnings and DALY-based valuation are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and valuation of resources and costs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Costing methods</w:t>
            </w:r>
          </w:p>
        </w:tc>
        <w:tc>
          <w:tcPr/>
          <w:p>
            <w:pPr>
              <w:pStyle w:val="Compact"/>
            </w:pPr>
            <w:r>
              <w:t xml:space="preserve">Fixed and variable programme costs are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Currency, price date and conversion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Abstract; Methods: Setting, perspective, time horizon and currency</w:t>
            </w:r>
          </w:p>
        </w:tc>
        <w:tc>
          <w:tcPr/>
          <w:p>
            <w:pPr>
              <w:pStyle w:val="Compact"/>
            </w:pPr>
            <w:r>
              <w:t xml:space="preserve">Intervention costs are expressed in 2026 US dollars, and PPP GDP valuation is described separately for lifetime productivity.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Rationale and description of model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Model structure and rationale</w:t>
            </w:r>
          </w:p>
        </w:tc>
        <w:tc>
          <w:tcPr/>
          <w:p>
            <w:pPr>
              <w:pStyle w:val="Compact"/>
            </w:pPr>
            <w:r>
              <w:t xml:space="preserve">Monte Carlo model and implementation chain are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and assumptions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Data sources and key assumptions; Technical appendix</w:t>
            </w:r>
          </w:p>
        </w:tc>
        <w:tc>
          <w:tcPr/>
          <w:p>
            <w:pPr>
              <w:pStyle w:val="Compact"/>
            </w:pPr>
            <w:r>
              <w:t xml:space="preserve">Structural assumptions and parameter ranges are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Characterising heterogeneity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Characterising uncertainty and heterogeneity</w:t>
            </w:r>
          </w:p>
        </w:tc>
        <w:tc>
          <w:tcPr/>
          <w:p>
            <w:pPr>
              <w:pStyle w:val="Compact"/>
            </w:pPr>
            <w:r>
              <w:t xml:space="preserve">Package-specific implementation heterogeneity, developmental timing, sex restriction robustness check, and adult spillovers are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Characterising distributional effects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Characterising uncertainty and heterogeneity</w:t>
            </w:r>
          </w:p>
        </w:tc>
        <w:tc>
          <w:tcPr/>
          <w:p>
            <w:pPr>
              <w:pStyle w:val="Compact"/>
            </w:pPr>
            <w:r>
              <w:t xml:space="preserve">States that no formal distributional weighting was used and explains the model’s equity-oriented targeting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Characterising uncertainty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Methods: Characterising uncertainty and heterogeneity; Results</w:t>
            </w:r>
          </w:p>
        </w:tc>
        <w:tc>
          <w:tcPr/>
          <w:p>
            <w:pPr>
              <w:pStyle w:val="Compact"/>
            </w:pPr>
            <w:r>
              <w:t xml:space="preserve">PERT distributions, dependence assumptions, probabilistic sensitivity analysis and robustness checks are reported.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 to engagement with patients and others affected by the study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Patient and public involvement; Author reflexivity statement</w:t>
            </w:r>
          </w:p>
        </w:tc>
        <w:tc>
          <w:tcPr/>
          <w:p>
            <w:pPr>
              <w:pStyle w:val="Compact"/>
            </w:pPr>
            <w:r>
              <w:t xml:space="preserve">States that no patients or stakeholders were directly engaged in shaping the current model and explains the study’s limits.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parameters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Methods; Technical appendix; Parameter appendix</w:t>
            </w:r>
          </w:p>
        </w:tc>
        <w:tc>
          <w:tcPr/>
          <w:p>
            <w:pPr>
              <w:pStyle w:val="Compact"/>
            </w:pPr>
            <w:r>
              <w:t xml:space="preserve">Parameters and ranges are documented in manuscript and supplements.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costs and outcomes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Abstract; Results</w:t>
            </w:r>
          </w:p>
        </w:tc>
        <w:tc>
          <w:tcPr/>
          <w:p>
            <w:pPr>
              <w:pStyle w:val="Compact"/>
            </w:pPr>
            <w:r>
              <w:t xml:space="preserve">Results are presented relative to current practice without Sentinel Firewall substitution.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of uncertainty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Results; supplementary figures</w:t>
            </w:r>
          </w:p>
        </w:tc>
        <w:tc>
          <w:tcPr/>
          <w:p>
            <w:pPr>
              <w:pStyle w:val="Compact"/>
            </w:pPr>
            <w:r>
              <w:t xml:space="preserve">Uncertainty ranges, tail risks and supplementary probabilistic sensitivity figures are reported.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of engagement with patients and others affected by the study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Patient and public involvement</w:t>
            </w:r>
          </w:p>
        </w:tc>
        <w:tc>
          <w:tcPr/>
          <w:p>
            <w:pPr>
              <w:pStyle w:val="Compact"/>
            </w:pPr>
            <w:r>
              <w:t xml:space="preserve">No direct engagement occurred in model development, so there is no engagement effect to report.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Interpretation and implementation; Limitations; Conclusion</w:t>
            </w:r>
          </w:p>
        </w:tc>
        <w:tc>
          <w:tcPr/>
          <w:p>
            <w:pPr>
              <w:pStyle w:val="Compact"/>
            </w:pPr>
            <w:r>
              <w:t xml:space="preserve">Findings, limitations, interpretation and generalisability are discussed.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funding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States that no specific funding was received.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Conflicts of interest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</w:pPr>
            <w:r>
              <w:t xml:space="preserve">None declared.</w:t>
            </w:r>
          </w:p>
        </w:tc>
      </w:tr>
    </w:tbl>
    <w:bookmarkStart w:id="9" w:name="notes-for-submission"/>
    <w:p>
      <w:pPr>
        <w:pStyle w:val="Heading2"/>
      </w:pPr>
      <w:r>
        <w:t xml:space="preserve">Notes for submission</w:t>
      </w:r>
    </w:p>
    <w:p>
      <w:pPr>
        <w:pStyle w:val="Compact"/>
        <w:numPr>
          <w:ilvl w:val="0"/>
          <w:numId w:val="1002"/>
        </w:numPr>
      </w:pPr>
      <w:r>
        <w:t xml:space="preserve">This checklist is intended for upload with the manuscript as a reporting companion.</w:t>
      </w:r>
    </w:p>
    <w:p>
      <w:pPr>
        <w:pStyle w:val="Compact"/>
        <w:numPr>
          <w:ilvl w:val="0"/>
          <w:numId w:val="1002"/>
        </w:numPr>
      </w:pPr>
      <w:r>
        <w:t xml:space="preserve">Detailed parameter documentation is provided in the technical appendix and parameter citation appendix.</w:t>
      </w:r>
    </w:p>
    <w:p>
      <w:pPr>
        <w:pStyle w:val="Compact"/>
        <w:numPr>
          <w:ilvl w:val="0"/>
          <w:numId w:val="1002"/>
        </w:numPr>
      </w:pPr>
      <w:r>
        <w:t xml:space="preserve">Supplementary figures include the package-specific probabilistic sensitivity plots and tornado diagrams referenced in the manuscript.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2026-05-04T17:31:22Z</dcterms:created>
  <dcterms:modified xsi:type="dcterms:W3CDTF">2026-05-04T17:31:22Z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