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23ECD7" w14:textId="77777777">
      <w:pPr>
        <w:pStyle w:val="Title"/>
      </w:pPr>
      <w:r>
        <w:rPr>
          <w:rFonts w:ascii="Calibri" w:hAnsi="Calibri"/>
        </w:rPr>
        <w:t>EV Simulation Decisions</w:t>
      </w:r>
    </w:p>
    <w:p w14:paraId="3141CCBF" w14:textId="77777777">
      <w:pPr>
        <w:pStyle w:val="Subtitle"/>
      </w:pPr>
      <w:r>
        <w:rPr>
          <w:rFonts w:ascii="Calibri" w:hAnsi="Calibri"/>
        </w:rPr>
        <w:t>Focused handoff: battery sizing and travel behavior</w:t>
      </w:r>
    </w:p>
    <w:p w14:paraId="445890A8" w14:textId="77777777">
      <w:r>
        <w:rPr>
          <w:b/>
          <w:color w:val="0B2545"/>
        </w:rPr>
        <w:t xml:space="preserve">Scope. </w:t>
      </w:r>
      <w:r>
        <w:t>This outline covers battery sizing, commute travel, non-commute travel, and trip timing.</w:t>
      </w:r>
    </w:p>
    <w:p w14:paraId="14B24BA2" w14:textId="77777777">
      <w:r>
        <w:rPr>
          <w:b/>
          <w:color w:val="0B2545"/>
        </w:rPr>
        <w:t xml:space="preserve">Out of scope. </w:t>
      </w:r>
      <w:r>
        <w:t>EV adoption and EV count will be set by the parametric study and are not decided here.</w:t>
      </w:r>
    </w:p>
    <w:p w14:paraId="170C4E16" w14:textId="77777777">
      <w:pPr>
        <w:pBdr>
          <w:left w:val="single" w:sz="22" w:space="8" w:color="2E74B5"/>
        </w:pBdr>
        <w:shd w:val="clear" w:color="auto" w:fill="E8EEF5"/>
        <w:spacing w:before="100" w:after="160"/>
        <w:ind w:left="115" w:right="115"/>
      </w:pPr>
      <w:r>
        <w:rPr>
          <w:b/>
          <w:color w:val="0B2545"/>
          <w:sz w:val="21"/>
        </w:rPr>
        <w:t xml:space="preserve">Small-sample caution. </w:t>
      </w:r>
      <w:r>
        <w:rPr>
          <w:color w:val="0B2545"/>
          <w:sz w:val="21"/>
        </w:rPr>
        <w:t>Keep the five-home simulation traceable at the individual-home level. Use sampled trip and vehicle characteristics rather than assuming the block average will represent a larger fleet.</w:t>
      </w:r>
    </w:p>
    <w:p w14:paraId="4E1C595D" w14:textId="77777777">
      <w:pPr>
        <w:pStyle w:val="Heading1"/>
      </w:pPr>
      <w:r>
        <w:rPr>
          <w:rFonts w:ascii="Calibri" w:hAnsi="Calibri"/>
        </w:rPr>
        <w:t>1. Current model context</w:t>
      </w:r>
    </w:p>
    <w:p w14:paraId="309D278B" w14:textId="5156940B">
      <w:r>
        <w:t xml:space="preserve">The five-home example currently uses fixed </w:t>
      </w:r>
      <w:r>
        <w:t>battery EV (BEV)</w:t>
      </w:r>
      <w:r>
        <w:t xml:space="preserve"> inputs per home: battery capacity, maximum charger power, arrival/departure time, and arrival SOC. The next implementation step is to replace the fixed travel and SOC assumptions with documented battery and trip inputs. EV count remains a parametric-study input</w:t>
      </w:r>
      <w:r>
        <w:t xml:space="preserve">; however, the sizes of the EV’s still needs to be considered. I am thinking a default safe assumption would be sedan EV or SUV EV and ignore trucks. We could make this a function of the occupancy in the home too though. Every decision in this process should have a reference when </w:t>
      </w:r>
      <w:proofErr w:type="gramStart"/>
      <w:r>
        <w:t>possible</w:t>
      </w:r>
      <w:proofErr w:type="gramEnd"/>
      <w:r>
        <w:t xml:space="preserve"> otherwise, a well thought out reasoning to defend in review.  </w:t>
      </w:r>
    </w:p>
    <w:p w14:paraId="1802C269" w14:textId="77777777">
      <w:pPr>
        <w:pStyle w:val="Heading1"/>
      </w:pPr>
      <w:r>
        <w:rPr>
          <w:rFonts w:ascii="Calibri" w:hAnsi="Calibri"/>
        </w:rPr>
        <w:t>2. Battery capacity and sizing</w:t>
      </w:r>
    </w:p>
    <w:p w14:paraId="3CE8F17D" w14:textId="6DC88A9B">
      <w:r>
        <w:t xml:space="preserve">Use vehicle class to select a battery-capacity distribution. </w:t>
      </w:r>
      <w:r>
        <w:t>PD’s</w:t>
      </w:r>
      <w:r>
        <w:t xml:space="preserve"> starting ranges are 50–90 kWh for sedans and 120–170 kWh for trucks; the sampling rule and source still need to be selected.</w:t>
      </w:r>
    </w:p>
    <w:p w14:paraId="4F851CDB" w14:textId="77777777">
      <w:pPr>
        <w:pStyle w:val="ListBullet"/>
        <w:spacing w:after="80"/>
      </w:pPr>
      <w:r>
        <w:t>Define the vehicle classes used by the simulation and map each class to a capacity distribution.</w:t>
      </w:r>
    </w:p>
    <w:p w14:paraId="40B0CC3C" w14:textId="77777777">
      <w:pPr>
        <w:pStyle w:val="ListBullet"/>
        <w:spacing w:after="80"/>
      </w:pPr>
      <w:r>
        <w:t>Choose uniform, triangular, empirical, or model-level sampling within each range.</w:t>
      </w:r>
    </w:p>
    <w:p w14:paraId="5997E8FF" w14:textId="77777777">
      <w:pPr>
        <w:pStyle w:val="ListBullet"/>
        <w:spacing w:after="80"/>
      </w:pPr>
      <w:r>
        <w:t>Clarify gross versus usable capacity and the SOC limits passed to OCHRE.</w:t>
      </w:r>
    </w:p>
    <w:p w14:paraId="33D25841" w14:textId="77777777">
      <w:pPr>
        <w:pStyle w:val="ListBullet"/>
        <w:spacing w:after="80"/>
      </w:pPr>
      <w:r>
        <w:t>Set vehicle-class energy use in kWh/mile, including any temperature or speed adjustment.</w:t>
      </w:r>
    </w:p>
    <w:p w14:paraId="27907262" w14:textId="77777777">
      <w:pPr>
        <w:pStyle w:val="ListBullet"/>
        <w:spacing w:after="80"/>
      </w:pPr>
      <w:r>
        <w:t>Define initial SOC, minimum SOC, maximum SOC, and how insufficient trip energy is handled.</w:t>
      </w:r>
    </w:p>
    <w:p w14:paraId="6B80D8FD" w14:textId="75206CB4">
      <w:pPr>
        <w:pStyle w:val="ListBullet"/>
        <w:spacing w:after="80"/>
      </w:pPr>
      <w:r>
        <w:t>Use NHTS vehicle fields only for travel/vehicle context; source battery capacity from vehicle specifications or another vehicle database.</w:t>
      </w:r>
    </w:p>
    <w:p w14:paraId="49115560" w14:textId="4B55A050">
      <w:r>
        <w:rPr>
          <w:b/>
          <w:color w:val="0B2545"/>
        </w:rPr>
        <w:t xml:space="preserve">Minimum battery inputs. </w:t>
      </w:r>
      <w:r>
        <w:t xml:space="preserve">Vehicle class; usable capacity (kWh); energy use (kWh/mile); initial/minimum/maximum SOC; and the </w:t>
      </w:r>
      <w:r>
        <w:t xml:space="preserve">reference for the </w:t>
      </w:r>
      <w:r>
        <w:t>source or rule for each value</w:t>
      </w:r>
      <w:r>
        <w:t xml:space="preserve"> used.</w:t>
      </w:r>
    </w:p>
    <w:p w14:paraId="39051A45" w14:textId="77777777">
      <w:pPr>
        <w:pStyle w:val="Heading1"/>
      </w:pPr>
      <w:r>
        <w:rPr>
          <w:rFonts w:ascii="Calibri" w:hAnsi="Calibri"/>
        </w:rPr>
        <w:t>3. Commute travel</w:t>
      </w:r>
    </w:p>
    <w:p w14:paraId="13CD8D1B" w14:textId="44867647">
      <w:r>
        <w:t>Use county-level data to calibrate commute duration, then use NHTS to shape travel behavior and timing. NHTS is not designed for county-level estimates; its official FAQ identifies national, census-region, and census-division use as the supported geographic levels.</w:t>
      </w:r>
      <w:r>
        <w:t xml:space="preserve"> When implemented, there should be a distribution of uncertainty for commute travel each day separated by weekday and weekend. </w:t>
      </w:r>
    </w:p>
    <w:p w14:paraId="4FAAF596" w14:textId="77777777">
      <w:pPr>
        <w:pStyle w:val="ListBullet"/>
        <w:spacing w:after="80"/>
      </w:pPr>
      <w:r>
        <w:t>Sample commute duration by worker/household from the selected county distribution.</w:t>
      </w:r>
    </w:p>
    <w:p w14:paraId="6C9C5ED8" w14:textId="397065DE">
      <w:pPr>
        <w:pStyle w:val="ListBullet"/>
        <w:spacing w:after="80"/>
      </w:pPr>
      <w:r>
        <w:lastRenderedPageBreak/>
        <w:t xml:space="preserve">PD’s method: </w:t>
      </w:r>
      <w:r>
        <w:t xml:space="preserve">Choose a speed assumption and calculate one-way </w:t>
      </w:r>
      <w:proofErr w:type="gramStart"/>
      <w:r>
        <w:t>distance, or</w:t>
      </w:r>
      <w:proofErr w:type="gramEnd"/>
      <w:r>
        <w:t xml:space="preserve"> use observed trip miles where appropriate.</w:t>
      </w:r>
    </w:p>
    <w:p w14:paraId="45EF7F20" w14:textId="77777777">
      <w:pPr>
        <w:pStyle w:val="ListBullet"/>
        <w:spacing w:after="80"/>
      </w:pPr>
      <w:r>
        <w:t>Decide whether work travel occurs five days per week, varies by weekday, or includes work-from-home days.</w:t>
      </w:r>
    </w:p>
    <w:p w14:paraId="0FECD5CE" w14:textId="77777777">
      <w:pPr>
        <w:pStyle w:val="ListBullet"/>
        <w:spacing w:after="80"/>
      </w:pPr>
      <w:r>
        <w:t>Convert distance to trip energy using the vehicle-class efficiency assumption.</w:t>
      </w:r>
    </w:p>
    <w:p w14:paraId="0BD2F7E3" w14:textId="77777777">
      <w:pPr>
        <w:pStyle w:val="ListBullet"/>
        <w:spacing w:after="80"/>
      </w:pPr>
      <w:r>
        <w:t>Track the vehicle’s away-from-home interval so it cannot charge during the commute.</w:t>
      </w:r>
    </w:p>
    <w:p w14:paraId="377C6DD9" w14:textId="77777777">
      <w:r>
        <w:rPr>
          <w:b/>
          <w:color w:val="0B2545"/>
        </w:rPr>
        <w:t xml:space="preserve">NHTS fields to review. </w:t>
      </w:r>
      <w:r>
        <w:t>PERSON: WORKER, WRKTIME, TIMETOWK, and work-from-home fields. TRIP: TRPMILES, TRVLCMIN, STRTTIME, TRAVDAY, and the trip/vehicle-use fields. Confirm exact 2022 names and codes in the data dictionary.</w:t>
      </w:r>
    </w:p>
    <w:p w14:paraId="3B8EE204" w14:textId="77777777">
      <w:pPr>
        <w:pStyle w:val="Heading1"/>
      </w:pPr>
      <w:r>
        <w:rPr>
          <w:rFonts w:ascii="Calibri" w:hAnsi="Calibri"/>
        </w:rPr>
        <w:t>4. Non-commute travel</w:t>
      </w:r>
    </w:p>
    <w:p w14:paraId="73819887" w14:textId="7EA526DB">
      <w:r>
        <w:t>Use the NHTS TRIP file to estimate non-commute trip frequency, purpose, distance, duration, and departure time. Grocery travel can be represented using the shopping/buy-goods purpose category, then translated into a feasible trip only when the simulated vehicle is home.</w:t>
      </w:r>
      <w:r>
        <w:t xml:space="preserve"> </w:t>
      </w:r>
      <w:r>
        <w:t xml:space="preserve">When implemented, there should be a distribution of uncertainty for </w:t>
      </w:r>
      <w:r>
        <w:t xml:space="preserve">non-commute </w:t>
      </w:r>
      <w:r>
        <w:t>travel each day separated by weekday and weekend.</w:t>
      </w:r>
    </w:p>
    <w:p w14:paraId="4DC57485" w14:textId="77777777">
      <w:pPr>
        <w:pStyle w:val="ListBullet"/>
        <w:spacing w:after="80"/>
      </w:pPr>
      <w:r>
        <w:t>Select the non-commute purposes to represent; begin with grocery/shopping and document whether it is always included or sampled.</w:t>
      </w:r>
    </w:p>
    <w:p w14:paraId="2B13E75D" w14:textId="77777777">
      <w:pPr>
        <w:pStyle w:val="ListBullet"/>
        <w:spacing w:after="80"/>
      </w:pPr>
      <w:r>
        <w:t>Use trip purpose, trip miles, trip duration, start time, travel day, and vehicle-used indicators to build the input distributions.</w:t>
      </w:r>
    </w:p>
    <w:p w14:paraId="359F947B" w14:textId="77777777">
      <w:pPr>
        <w:pStyle w:val="ListBullet"/>
        <w:spacing w:after="80"/>
      </w:pPr>
      <w:r>
        <w:t>Use NHTS weights when calculating population-level distributions, and filter negative special-code values before computing distances or durations.</w:t>
      </w:r>
    </w:p>
    <w:p w14:paraId="46100747" w14:textId="77777777">
      <w:pPr>
        <w:pStyle w:val="ListBullet"/>
        <w:spacing w:after="80"/>
      </w:pPr>
      <w:r>
        <w:t>Do not schedule a non-commute trip if the vehicle is already away or charging; sort trips into a daily sequence and enforce a home/away state.</w:t>
      </w:r>
    </w:p>
    <w:p w14:paraId="6FF40B67" w14:textId="77777777">
      <w:pPr>
        <w:pStyle w:val="ListBullet"/>
        <w:spacing w:after="80"/>
      </w:pPr>
      <w:r>
        <w:t>Track non-commute miles and energy separately from the charging event for auditability.</w:t>
      </w:r>
    </w:p>
    <w:p w14:paraId="00665BBE" w14:textId="77777777">
      <w:r>
        <w:rPr>
          <w:b/>
          <w:color w:val="0B2545"/>
        </w:rPr>
        <w:t xml:space="preserve">NHTS fields to review. </w:t>
      </w:r>
      <w:r>
        <w:t>TRIP: TRIPPURP, WHYFROM, WHYTO, TRPMILES, TRVLCMIN, STRTTIME, TRAVDAY, TRPHHVEH, and occupancy fields such as TRPHHACC/TRPACCMP where available.</w:t>
      </w:r>
    </w:p>
    <w:p w14:paraId="71DA3C19" w14:textId="77777777">
      <w:pPr>
        <w:pStyle w:val="Heading1"/>
      </w:pPr>
      <w:r>
        <w:rPr>
          <w:rFonts w:ascii="Calibri" w:hAnsi="Calibri"/>
        </w:rPr>
        <w:t>5. Trip timing</w:t>
      </w:r>
    </w:p>
    <w:p w14:paraId="5C406E23" w14:textId="77777777">
      <w:r>
        <w:t>Create distributions around work departure/arrival and non-commute departure/return times. Preserve day-to-day variation, weekday/weekend differences, and the vehicle’s at-home eligibility.</w:t>
      </w:r>
    </w:p>
    <w:p w14:paraId="2ECE21E3" w14:textId="77777777">
      <w:pPr>
        <w:pStyle w:val="ListBullet"/>
        <w:spacing w:after="80"/>
      </w:pPr>
      <w:r>
        <w:t>Work timing: sample home-to-work departure and arrival using trip start time, trip duration, work arrival time, and commute duration.</w:t>
      </w:r>
    </w:p>
    <w:p w14:paraId="34F6CDE5" w14:textId="77777777">
      <w:pPr>
        <w:pStyle w:val="ListBullet"/>
        <w:spacing w:after="80"/>
      </w:pPr>
      <w:r>
        <w:t>Non-commute timing: sample departure and return by purpose; grocery trips should not all occur at one fixed time.</w:t>
      </w:r>
    </w:p>
    <w:p w14:paraId="7B458827" w14:textId="77777777">
      <w:pPr>
        <w:pStyle w:val="ListBullet"/>
        <w:spacing w:after="80"/>
      </w:pPr>
      <w:r>
        <w:t>Use TRAVDAY/weekend fields to distinguish weekday and weekend behavior.</w:t>
      </w:r>
    </w:p>
    <w:p w14:paraId="358548B0" w14:textId="77777777">
      <w:pPr>
        <w:pStyle w:val="ListBullet"/>
        <w:spacing w:after="80"/>
      </w:pPr>
      <w:r>
        <w:t>Use work-from-home fields to avoid creating a commute on a work-from-home day.</w:t>
      </w:r>
    </w:p>
    <w:p w14:paraId="55425FD4" w14:textId="77777777">
      <w:pPr>
        <w:pStyle w:val="ListBullet"/>
        <w:spacing w:after="80"/>
      </w:pPr>
      <w:r>
        <w:t>For a five-home block, decide whether schedules are independent or share common shifts caused by weekday, weather, or household routines.</w:t>
      </w:r>
    </w:p>
    <w:p w14:paraId="6E632453" w14:textId="77777777">
      <w:pPr>
        <w:pStyle w:val="Heading1"/>
      </w:pPr>
      <w:r>
        <w:rPr>
          <w:rFonts w:ascii="Calibri" w:hAnsi="Calibri"/>
        </w:rPr>
        <w:lastRenderedPageBreak/>
        <w:t>6. Official NHTS input sources</w:t>
      </w:r>
    </w:p>
    <w:p w14:paraId="6C757BF6" w14:textId="77777777">
      <w:r>
        <w:t>Use 2022 NHTS V2.1 as the primary source unless the project has a reason to stay with 2017. The Downloads page contains the core files; the Documentation page contains the 2022 codebook, data dictionary, user guide, and derived-variable documentation.</w:t>
      </w:r>
    </w:p>
    <w:p w14:paraId="2FAA8E7C" w14:textId="77777777"/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4300"/>
        <w:gridCol w:w="3160"/>
      </w:tblGrid>
      <w:tr w14:paraId="409D5AA1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774A" w14:textId="77777777">
            <w:pPr>
              <w:spacing w:after="0"/>
            </w:pPr>
            <w:r>
              <w:rPr>
                <w:b/>
                <w:color w:val="0B2545"/>
                <w:sz w:val="17"/>
              </w:rPr>
              <w:t>Simulation use</w:t>
            </w:r>
          </w:p>
        </w:tc>
        <w:tc>
          <w:tcPr>
            <w:tcW w:w="43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A3385" w14:textId="77777777">
            <w:pPr>
              <w:spacing w:after="0"/>
            </w:pPr>
            <w:r>
              <w:rPr>
                <w:b/>
                <w:color w:val="0B2545"/>
                <w:sz w:val="17"/>
              </w:rPr>
              <w:t>NHTS file / fields to extract</w:t>
            </w:r>
          </w:p>
        </w:tc>
        <w:tc>
          <w:tcPr>
            <w:tcW w:w="31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1C82" w14:textId="77777777">
            <w:pPr>
              <w:spacing w:after="0"/>
            </w:pPr>
            <w:r>
              <w:rPr>
                <w:b/>
                <w:color w:val="0B2545"/>
                <w:sz w:val="17"/>
              </w:rPr>
              <w:t>Official source</w:t>
            </w:r>
          </w:p>
        </w:tc>
      </w:tr>
      <w:tr w14:paraId="3A28F05C" w14:textId="77777777">
        <w:trPr>
          <w:cantSplit/>
        </w:trPr>
        <w:tc>
          <w:tcPr>
            <w:tcW w:w="19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9D30" w14:textId="77777777">
            <w:pPr>
              <w:spacing w:after="0" w:line="252" w:lineRule="auto"/>
            </w:pPr>
            <w:r>
              <w:rPr>
                <w:sz w:val="17"/>
              </w:rPr>
              <w:t>Core data and weights</w:t>
            </w:r>
          </w:p>
        </w:tc>
        <w:tc>
          <w:tcPr>
            <w:tcW w:w="43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D3E4F" w14:textId="77777777">
            <w:pPr>
              <w:spacing w:after="0" w:line="252" w:lineRule="auto"/>
            </w:pPr>
            <w:r>
              <w:rPr>
                <w:sz w:val="17"/>
              </w:rPr>
              <w:t>HOUSEHOLD, PERSON, VEHICLE, and TRIP files. Use the file-specific final weights; confirm names in the 2022 data dictionary.</w:t>
            </w:r>
          </w:p>
        </w:tc>
        <w:tc>
          <w:tcPr>
            <w:tcW w:w="31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C50EA" w14:textId="77777777">
            <w:pPr>
              <w:spacing w:after="0" w:line="252" w:lineRule="auto"/>
            </w:pPr>
            <w:r>
              <w:rPr>
                <w:sz w:val="17"/>
              </w:rPr>
              <w:t>NHTS Downloads; NHTS Documentation</w:t>
            </w:r>
          </w:p>
        </w:tc>
      </w:tr>
      <w:tr w14:paraId="1860A134" w14:textId="77777777">
        <w:trPr>
          <w:cantSplit/>
        </w:trPr>
        <w:tc>
          <w:tcPr>
            <w:tcW w:w="19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BA9C" w14:textId="77777777">
            <w:pPr>
              <w:spacing w:after="0" w:line="252" w:lineRule="auto"/>
            </w:pPr>
            <w:r>
              <w:rPr>
                <w:sz w:val="17"/>
              </w:rPr>
              <w:t>Battery/vehicle context</w:t>
            </w:r>
          </w:p>
        </w:tc>
        <w:tc>
          <w:tcPr>
            <w:tcW w:w="43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8CD8F" w14:textId="77777777">
            <w:pPr>
              <w:spacing w:after="0" w:line="252" w:lineRule="auto"/>
            </w:pPr>
            <w:r>
              <w:rPr>
                <w:sz w:val="17"/>
              </w:rPr>
              <w:t>VEHICLE fields such as vehicle type, make, model, and year. Use these to classify travel/vehicle context, not as a battery-capacity source.</w:t>
            </w:r>
          </w:p>
        </w:tc>
        <w:tc>
          <w:tcPr>
            <w:tcW w:w="31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2CD74" w14:textId="77777777">
            <w:pPr>
              <w:spacing w:after="0" w:line="252" w:lineRule="auto"/>
            </w:pPr>
            <w:r>
              <w:rPr>
                <w:sz w:val="17"/>
              </w:rPr>
              <w:t>NHTS Documentation; 2022 Data Dictionary</w:t>
            </w:r>
          </w:p>
        </w:tc>
      </w:tr>
      <w:tr w14:paraId="3F1AF334" w14:textId="77777777">
        <w:trPr>
          <w:cantSplit/>
        </w:trPr>
        <w:tc>
          <w:tcPr>
            <w:tcW w:w="19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4F4FF" w14:textId="77777777">
            <w:pPr>
              <w:spacing w:after="0" w:line="252" w:lineRule="auto"/>
            </w:pPr>
            <w:r>
              <w:rPr>
                <w:sz w:val="17"/>
              </w:rPr>
              <w:t>Commute travel</w:t>
            </w:r>
          </w:p>
        </w:tc>
        <w:tc>
          <w:tcPr>
            <w:tcW w:w="43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7C1D1" w14:textId="77777777">
            <w:pPr>
              <w:spacing w:after="0" w:line="252" w:lineRule="auto"/>
            </w:pPr>
            <w:r>
              <w:rPr>
                <w:sz w:val="17"/>
              </w:rPr>
              <w:t>PERSON work fields plus TRIP miles, duration, start time, travel day, and vehicle-use fields.</w:t>
            </w:r>
          </w:p>
        </w:tc>
        <w:tc>
          <w:tcPr>
            <w:tcW w:w="31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326F8" w14:textId="77777777">
            <w:pPr>
              <w:spacing w:after="0" w:line="252" w:lineRule="auto"/>
            </w:pPr>
            <w:r>
              <w:rPr>
                <w:sz w:val="17"/>
              </w:rPr>
              <w:t>2022 User’s Guide; NHTS FAQ</w:t>
            </w:r>
          </w:p>
        </w:tc>
      </w:tr>
      <w:tr w14:paraId="0C0663A8" w14:textId="77777777">
        <w:trPr>
          <w:cantSplit/>
        </w:trPr>
        <w:tc>
          <w:tcPr>
            <w:tcW w:w="19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0D614" w14:textId="77777777">
            <w:pPr>
              <w:spacing w:after="0" w:line="252" w:lineRule="auto"/>
            </w:pPr>
            <w:r>
              <w:rPr>
                <w:sz w:val="17"/>
              </w:rPr>
              <w:t>Non-commute travel</w:t>
            </w:r>
          </w:p>
        </w:tc>
        <w:tc>
          <w:tcPr>
            <w:tcW w:w="43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17BFB" w14:textId="77777777">
            <w:pPr>
              <w:spacing w:after="0" w:line="252" w:lineRule="auto"/>
            </w:pPr>
            <w:r>
              <w:rPr>
                <w:sz w:val="17"/>
              </w:rPr>
              <w:t>TRIP purpose fields (TRIPPURP, WHYFROM, WHYTO), miles, duration, start time, travel day, vehicle use, and occupancy.</w:t>
            </w:r>
          </w:p>
        </w:tc>
        <w:tc>
          <w:tcPr>
            <w:tcW w:w="31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E274B" w14:textId="77777777">
            <w:pPr>
              <w:spacing w:after="0" w:line="252" w:lineRule="auto"/>
            </w:pPr>
            <w:r>
              <w:rPr>
                <w:sz w:val="17"/>
              </w:rPr>
              <w:t>2022 Derived Variables; 2022 User’s Guide</w:t>
            </w:r>
          </w:p>
        </w:tc>
      </w:tr>
      <w:tr w14:paraId="708C522B" w14:textId="77777777">
        <w:trPr>
          <w:cantSplit/>
        </w:trPr>
        <w:tc>
          <w:tcPr>
            <w:tcW w:w="19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9DDCC" w14:textId="77777777">
            <w:pPr>
              <w:spacing w:after="0" w:line="252" w:lineRule="auto"/>
            </w:pPr>
            <w:r>
              <w:rPr>
                <w:sz w:val="17"/>
              </w:rPr>
              <w:t>Trip timing</w:t>
            </w:r>
          </w:p>
        </w:tc>
        <w:tc>
          <w:tcPr>
            <w:tcW w:w="43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EDD0A" w14:textId="77777777">
            <w:pPr>
              <w:spacing w:after="0" w:line="252" w:lineRule="auto"/>
            </w:pPr>
            <w:r>
              <w:rPr>
                <w:sz w:val="17"/>
              </w:rPr>
              <w:t>TRIP start/end or duration fields, TRAVDAY/weekend fields, and PERSON work-arrival/work-from-home fields.</w:t>
            </w:r>
          </w:p>
        </w:tc>
        <w:tc>
          <w:tcPr>
            <w:tcW w:w="31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7AC3" w14:textId="77777777">
            <w:pPr>
              <w:spacing w:after="0" w:line="252" w:lineRule="auto"/>
            </w:pPr>
            <w:r>
              <w:rPr>
                <w:sz w:val="17"/>
              </w:rPr>
              <w:t>NHTS Codebook / Data Dictionary; 2022 User’s Guide</w:t>
            </w:r>
          </w:p>
        </w:tc>
      </w:tr>
    </w:tbl>
    <w:p w14:paraId="523938D3" w14:textId="77777777">
      <w:pPr>
        <w:spacing w:after="20"/>
      </w:pPr>
    </w:p>
    <w:p w14:paraId="7845E492" w14:textId="77777777">
      <w:pPr>
        <w:pStyle w:val="ListBullet"/>
        <w:spacing w:after="60" w:line="252" w:lineRule="auto"/>
      </w:pPr>
      <w:hyperlink r:id="rId8">
        <w:r>
          <w:rPr>
            <w:color w:val="2E74B5"/>
            <w:u w:val="single"/>
          </w:rPr>
          <w:t>NHTS Downloads</w:t>
        </w:r>
      </w:hyperlink>
      <w:r>
        <w:rPr>
          <w:sz w:val="20"/>
        </w:rPr>
        <w:t xml:space="preserve"> — 2022 V2.1 core data in CSV, SAS, and SPSS formats.</w:t>
      </w:r>
    </w:p>
    <w:p w14:paraId="2C5EA0CA" w14:textId="77777777">
      <w:pPr>
        <w:pStyle w:val="ListBullet"/>
        <w:spacing w:after="60" w:line="252" w:lineRule="auto"/>
      </w:pPr>
      <w:hyperlink r:id="rId9">
        <w:r>
          <w:rPr>
            <w:color w:val="2E74B5"/>
            <w:u w:val="single"/>
          </w:rPr>
          <w:t>NHTS Documentation</w:t>
        </w:r>
      </w:hyperlink>
      <w:r>
        <w:rPr>
          <w:sz w:val="20"/>
        </w:rPr>
        <w:t xml:space="preserve"> — 2022 codebook, data dictionary, user guide, and derived variables.</w:t>
      </w:r>
    </w:p>
    <w:p w14:paraId="454B2080" w14:textId="77777777">
      <w:pPr>
        <w:pStyle w:val="ListBullet"/>
        <w:spacing w:after="60" w:line="252" w:lineRule="auto"/>
      </w:pPr>
      <w:hyperlink r:id="rId10">
        <w:r>
          <w:rPr>
            <w:color w:val="2E74B5"/>
            <w:u w:val="single"/>
          </w:rPr>
          <w:t>2022 NHTS User’s Guide</w:t>
        </w:r>
      </w:hyperlink>
      <w:r>
        <w:rPr>
          <w:sz w:val="20"/>
        </w:rPr>
        <w:t xml:space="preserve"> — File structure, trip concepts, variables, weights, and special codes.</w:t>
      </w:r>
    </w:p>
    <w:p w14:paraId="6E2AB466" w14:textId="77777777">
      <w:pPr>
        <w:pStyle w:val="ListBullet"/>
        <w:spacing w:after="60" w:line="252" w:lineRule="auto"/>
      </w:pPr>
      <w:hyperlink r:id="rId11">
        <w:r>
          <w:rPr>
            <w:color w:val="2E74B5"/>
            <w:u w:val="single"/>
          </w:rPr>
          <w:t>2022 Derived Variables</w:t>
        </w:r>
      </w:hyperlink>
      <w:r>
        <w:rPr>
          <w:sz w:val="20"/>
        </w:rPr>
        <w:t xml:space="preserve"> — Definitions and derivation logic for trip-purpose and related fields.</w:t>
      </w:r>
    </w:p>
    <w:p w14:paraId="7757AE74" w14:textId="77777777">
      <w:pPr>
        <w:pStyle w:val="ListBullet"/>
        <w:spacing w:after="60" w:line="252" w:lineRule="auto"/>
      </w:pPr>
      <w:hyperlink r:id="rId12">
        <w:r>
          <w:rPr>
            <w:color w:val="2E74B5"/>
            <w:u w:val="single"/>
          </w:rPr>
          <w:t>NHTS FAQ</w:t>
        </w:r>
      </w:hyperlink>
      <w:r>
        <w:rPr>
          <w:sz w:val="20"/>
        </w:rPr>
        <w:t xml:space="preserve"> — Geographic validity, weighting, trip purpose, travel day, and negative-value handling.</w:t>
      </w:r>
    </w:p>
    <w:p w14:paraId="79CC8CA7" w14:textId="77777777">
      <w:pPr>
        <w:pStyle w:val="ListBullet"/>
        <w:spacing w:after="60" w:line="252" w:lineRule="auto"/>
      </w:pPr>
      <w:hyperlink r:id="rId13">
        <w:r>
          <w:rPr>
            <w:color w:val="2E74B5"/>
            <w:u w:val="single"/>
          </w:rPr>
          <w:t>NHTS Codebook Browser</w:t>
        </w:r>
      </w:hyperlink>
      <w:r>
        <w:rPr>
          <w:sz w:val="20"/>
        </w:rPr>
        <w:t xml:space="preserve"> — Variable lookup; use the downloadable 2022 codebook/data dictionary for 2022 fields.</w:t>
      </w:r>
    </w:p>
    <w:p w14:paraId="373CCDE4" w14:textId="77777777">
      <w:pPr>
        <w:pBdr>
          <w:left w:val="single" w:sz="22" w:space="8" w:color="2E74B5"/>
        </w:pBdr>
        <w:shd w:val="clear" w:color="auto" w:fill="E8EEF5"/>
        <w:spacing w:before="100" w:after="160"/>
        <w:ind w:left="115" w:right="115"/>
      </w:pPr>
      <w:r>
        <w:rPr>
          <w:b/>
          <w:color w:val="0B2545"/>
          <w:sz w:val="21"/>
        </w:rPr>
        <w:t xml:space="preserve">Recommended workflow. </w:t>
      </w:r>
      <w:r>
        <w:rPr>
          <w:color w:val="0B2545"/>
          <w:sz w:val="21"/>
        </w:rPr>
        <w:t>Download the 2022 CSV files, confirm field names/codes in the data dictionary, filter invalid special codes, apply the appropriate file weight, and document the exact extraction query used for each distribution.</w:t>
      </w:r>
    </w:p>
    <w:sectPr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D722A8" w14:textId="77777777">
      <w:pPr>
        <w:spacing w:after="0" w:line="240" w:lineRule="auto"/>
      </w:pPr>
      <w:r>
        <w:separator/>
      </w:r>
    </w:p>
  </w:endnote>
  <w:endnote w:type="continuationSeparator" w:id="0">
    <w:p w14:paraId="4AA93CD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A28EA4" w14:textId="77777777">
    <w:pPr>
      <w:pStyle w:val="Footer"/>
      <w:jc w:val="right"/>
    </w:pPr>
    <w:r>
      <w:rPr>
        <w:color w:val="5B6573"/>
        <w:sz w:val="18"/>
      </w:rPr>
      <w:t xml:space="preserve">Page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>PAGE</w:instrText>
    </w:r>
    <w:r>
      <w:rPr>
        <w:color w:val="5B6573"/>
        <w:sz w:val="18"/>
      </w:rPr>
      <w:fldChar w:fldCharType="separate"/>
    </w:r>
    <w:r>
      <w:rPr>
        <w:noProof/>
        <w:color w:val="5B6573"/>
        <w:sz w:val="18"/>
      </w:rPr>
      <w:t>1</w:t>
    </w:r>
    <w:r>
      <w:rPr>
        <w:color w:val="5B65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5461BD" w14:textId="77777777">
      <w:pPr>
        <w:spacing w:after="0" w:line="240" w:lineRule="auto"/>
      </w:pPr>
      <w:r>
        <w:separator/>
      </w:r>
    </w:p>
  </w:footnote>
  <w:footnote w:type="continuationSeparator" w:id="0">
    <w:p w14:paraId="688DC1B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10780F" w14:textId="77777777">
    <w:pPr>
      <w:pStyle w:val="Header"/>
    </w:pPr>
    <w:r>
      <w:rPr>
        <w:b/>
        <w:color w:val="5B6573"/>
        <w:sz w:val="17"/>
      </w:rPr>
      <w:t>EV SIMULATION HANDOFF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42255"/>
    <w:multiLevelType w:val="singleLevel"/>
    <w:tmpl w:val="0409000F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333F312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4AC52B80"/>
    <w:multiLevelType w:val="singleLevel"/>
    <w:tmpl w:val="F27E7C3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7241013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15391017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290"/>
    <w:rsid w:val="0015074B"/>
    <w:rsid w:val="00213DA5"/>
    <w:rsid w:val="0029639D"/>
    <w:rsid w:val="00326F90"/>
    <w:rsid w:val="00897081"/>
    <w:rsid w:val="00AA1D8D"/>
    <w:rsid w:val="00B47730"/>
    <w:rsid w:val="00CB0664"/>
    <w:rsid w:val="00DD6C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58365"/>
  <w14:defaultImageDpi w14:val="300"/>
  <w15:docId w15:val="{C61F892B-AD83-894F-8C9A-950A61BF1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 w:hanging="36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hts.ornl.gov/downloads" TargetMode="External"/><Relationship Id="rId13" Type="http://schemas.openxmlformats.org/officeDocument/2006/relationships/hyperlink" Target="https://nhts.ornl.gov/codeboo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hts.ornl.gov/faq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hts.ornl.gov/assets/2022/doc/2022%20NextGen%20NHTS%20Derived%20Variables-PubUse.pdf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nhts.ornl.gov/assets/2022/doc/2022%20NextGen%20NHTS%20User%27s%20Guide%20V2_PubUse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hts.ornl.gov/documentation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1141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Simulation Decisions — Focused Battery and Travel Handoff</dc:title>
  <dc:subject>Battery sizing, commute travel, non-commute travel, trip timing, and NHTS sources</dc:subject>
  <dc:creator/>
  <cp:keywords>EV, simulation, battery sizing, commute, non-commute travel, trip timing, NHTS</cp:keywords>
  <dc:description>generated by python-docx</dc:description>
  <cp:lastModifiedBy/>
  <cp:revision>2</cp:revision>
  <dcterms:created xsi:type="dcterms:W3CDTF">2013-12-23T23:15:00Z</dcterms:created>
  <dcterms:modified xsi:type="dcterms:W3CDTF">2026-08-25T02:05:00Z</dcterms:modified>
  <cp:category/>
</cp:coreProperties>
</file>