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pacing w:before="0" w:after="60" w:line="240" w:lineRule="auto"/>
      </w:pPr>
      <w:r>
        <w:rPr>
          <w:rFonts w:ascii="Calibri Light" w:hAnsi="Calibri Light"/>
          <w:color w:val="0B2545"/>
          <w:sz w:val="48"/>
        </w:rPr>
        <w:t>Implementación web de CoDi vía proveedor</w:t>
      </w:r>
    </w:p>
    <w:p>
      <w:pPr>
        <w:spacing w:before="0" w:after="240" w:line="276" w:lineRule="auto"/>
      </w:pPr>
      <w:r>
        <w:rPr>
          <w:b w:val="0"/>
          <w:color w:val="555555"/>
        </w:rPr>
        <w:t>Guía de flujo para integrar cobros CoDi en un ecommerce con QR/push, webhook y conciliación automática.</w:t>
      </w:r>
    </w:p>
    <w:tbl>
      <w:tblPr>
        <w:tblStyle w:val="TableGrid"/>
        <w:tblW w:type="dxa" w:w="9360"/>
        <w:jc w:val="left"/>
        <w:tblLook w:firstColumn="1" w:firstRow="1" w:lastColumn="0" w:lastRow="0" w:noHBand="0" w:noVBand="1" w:val="04A0"/>
        <w:tblInd w:w="0" w:type="dxa"/>
      </w:tblPr>
      <w:tblGrid>
        <w:gridCol w:w="9360"/>
      </w:tblGrid>
      <w:tr>
        <w:tc>
          <w:tcPr>
            <w:tcW w:type="dxa" w:w="936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  <w:shd w:fill="F4F6F9"/>
          </w:tcPr>
          <w:p>
            <w:pPr>
              <w:spacing w:before="0" w:after="40" w:line="264" w:lineRule="auto"/>
            </w:pPr>
            <w:r>
              <w:rPr>
                <w:b/>
                <w:color w:val="1F3A5F"/>
              </w:rPr>
              <w:t>Idea central:</w:t>
            </w:r>
            <w:r>
              <w:t xml:space="preserve"> tu web nunca debe marcar una orden como pagada solo porque mostró un QR. La orden se libera únicamente después de recibir un webhook y validar el pago consultando al proveedor.</w:t>
            </w:r>
          </w:p>
        </w:tc>
      </w:tr>
    </w:tbl>
    <w:p/>
    <w:p>
      <w:pPr>
        <w:pStyle w:val="Heading1"/>
      </w:pPr>
      <w:r>
        <w:t>Arquitectura mínima</w:t>
      </w:r>
    </w:p>
    <w:p>
      <w:pPr>
        <w:pStyle w:val="ListBullet"/>
        <w:spacing w:before="0" w:after="120" w:line="280" w:lineRule="auto"/>
        <w:ind w:left="720" w:hanging="360"/>
      </w:pPr>
      <w:r>
        <w:t>Frontend de checkout: muestra CoDi como método, QR/push, monto exacto, timer y estado de espera.</w:t>
      </w:r>
    </w:p>
    <w:p>
      <w:pPr>
        <w:pStyle w:val="ListBullet"/>
        <w:spacing w:before="0" w:after="120" w:line="280" w:lineRule="auto"/>
        <w:ind w:left="720" w:hanging="360"/>
      </w:pPr>
      <w:r>
        <w:t>Backend: crea la orden, habla con el proveedor, recibe webhooks y decide si la orden queda pagada.</w:t>
      </w:r>
    </w:p>
    <w:p>
      <w:pPr>
        <w:pStyle w:val="ListBullet"/>
        <w:spacing w:before="0" w:after="120" w:line="280" w:lineRule="auto"/>
        <w:ind w:left="720" w:hanging="360"/>
      </w:pPr>
      <w:r>
        <w:t>Base de datos: guarda orden, intento de pago, estado, monto, moneda, vencimiento e ID del proveedor.</w:t>
      </w:r>
    </w:p>
    <w:p>
      <w:pPr>
        <w:pStyle w:val="ListBullet"/>
        <w:spacing w:before="0" w:after="120" w:line="280" w:lineRule="auto"/>
        <w:ind w:left="720" w:hanging="360"/>
      </w:pPr>
      <w:r>
        <w:t>Proveedor CoDi: genera el cobro, conecta con la app bancaria del cliente y notifica resultado.</w:t>
      </w:r>
    </w:p>
    <w:p>
      <w:pPr>
        <w:pStyle w:val="ListBullet"/>
        <w:spacing w:before="0" w:after="120" w:line="280" w:lineRule="auto"/>
        <w:ind w:left="720" w:hanging="360"/>
      </w:pPr>
      <w:r>
        <w:t>Panel/admin: permite revisar pagos duplicados, vencidos, incorrectos o con error.</w:t>
      </w:r>
    </w:p>
    <w:p>
      <w:pPr>
        <w:pStyle w:val="Heading1"/>
      </w:pPr>
      <w:r>
        <w:t>Flujo visual</w:t>
      </w:r>
    </w:p>
    <w:tbl>
      <w:tblPr>
        <w:tblStyle w:val="TableGrid"/>
        <w:tblW w:type="dxa" w:w="9360"/>
        <w:jc w:val="left"/>
        <w:tblLook w:firstColumn="1" w:firstRow="1" w:lastColumn="0" w:lastRow="0" w:noHBand="0" w:noVBand="1" w:val="04A0"/>
        <w:tblInd w:w="0" w:type="dxa"/>
      </w:tblPr>
      <w:tblGrid>
        <w:gridCol w:w="3120"/>
        <w:gridCol w:w="3120"/>
        <w:gridCol w:w="3120"/>
      </w:tblGrid>
      <w:tr>
        <w:tc>
          <w:tcPr>
            <w:tcW w:type="dxa" w:w="312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  <w:shd w:fill="E8EEF5"/>
          </w:tcPr>
          <w:p>
            <w:pPr>
              <w:spacing w:before="0" w:after="60" w:line="252" w:lineRule="auto"/>
              <w:jc w:val="center"/>
            </w:pPr>
            <w:r>
              <w:rPr>
                <w:b/>
                <w:color w:val="0B2545"/>
                <w:sz w:val="24"/>
              </w:rPr>
              <w:t>1. Checkout</w:t>
            </w:r>
          </w:p>
          <w:p>
            <w:pPr>
              <w:spacing w:before="0" w:after="0" w:line="252" w:lineRule="auto"/>
              <w:jc w:val="center"/>
            </w:pPr>
            <w:r>
              <w:rPr>
                <w:b w:val="0"/>
                <w:color w:val="202020"/>
                <w:sz w:val="20"/>
              </w:rPr>
              <w:t>Cliente elige CoDi en la web.</w:t>
            </w:r>
          </w:p>
        </w:tc>
        <w:tc>
          <w:tcPr>
            <w:tcW w:type="dxa" w:w="312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  <w:shd w:fill="E8EEF5"/>
          </w:tcPr>
          <w:p>
            <w:pPr>
              <w:spacing w:before="0" w:after="60" w:line="252" w:lineRule="auto"/>
              <w:jc w:val="center"/>
            </w:pPr>
            <w:r>
              <w:rPr>
                <w:b/>
                <w:color w:val="0B2545"/>
                <w:sz w:val="24"/>
              </w:rPr>
              <w:t>2. Crear orden</w:t>
            </w:r>
          </w:p>
          <w:p>
            <w:pPr>
              <w:spacing w:before="0" w:after="0" w:line="252" w:lineRule="auto"/>
              <w:jc w:val="center"/>
            </w:pPr>
            <w:r>
              <w:rPr>
                <w:b w:val="0"/>
                <w:color w:val="202020"/>
                <w:sz w:val="20"/>
              </w:rPr>
              <w:t>Backend crea orden pendiente y llama al proveedor.</w:t>
            </w:r>
          </w:p>
        </w:tc>
        <w:tc>
          <w:tcPr>
            <w:tcW w:type="dxa" w:w="312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  <w:shd w:fill="E8EEF5"/>
          </w:tcPr>
          <w:p>
            <w:pPr>
              <w:spacing w:before="0" w:after="60" w:line="252" w:lineRule="auto"/>
              <w:jc w:val="center"/>
            </w:pPr>
            <w:r>
              <w:rPr>
                <w:b/>
                <w:color w:val="0B2545"/>
                <w:sz w:val="24"/>
              </w:rPr>
              <w:t>3. QR / push</w:t>
            </w:r>
          </w:p>
          <w:p>
            <w:pPr>
              <w:spacing w:before="0" w:after="0" w:line="252" w:lineRule="auto"/>
              <w:jc w:val="center"/>
            </w:pPr>
            <w:r>
              <w:rPr>
                <w:b w:val="0"/>
                <w:color w:val="202020"/>
                <w:sz w:val="20"/>
              </w:rPr>
              <w:t>Proveedor devuelve QR, link o solicitud push.</w:t>
            </w:r>
          </w:p>
        </w:tc>
      </w:tr>
      <w:tr>
        <w:tc>
          <w:tcPr>
            <w:tcW w:type="dxa" w:w="312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  <w:shd w:fill="E8EEF5"/>
          </w:tcPr>
          <w:p>
            <w:pPr>
              <w:spacing w:before="0" w:after="60" w:line="252" w:lineRule="auto"/>
              <w:jc w:val="center"/>
            </w:pPr>
            <w:r>
              <w:rPr>
                <w:b/>
                <w:color w:val="0B2545"/>
                <w:sz w:val="24"/>
              </w:rPr>
              <w:t>4. Autorizar</w:t>
            </w:r>
          </w:p>
          <w:p>
            <w:pPr>
              <w:spacing w:before="0" w:after="0" w:line="252" w:lineRule="auto"/>
              <w:jc w:val="center"/>
            </w:pPr>
            <w:r>
              <w:rPr>
                <w:b w:val="0"/>
                <w:color w:val="202020"/>
                <w:sz w:val="20"/>
              </w:rPr>
              <w:t>Cliente confirma pago en app bancaria.</w:t>
            </w:r>
          </w:p>
        </w:tc>
        <w:tc>
          <w:tcPr>
            <w:tcW w:type="dxa" w:w="312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  <w:shd w:fill="E8EEF5"/>
          </w:tcPr>
          <w:p>
            <w:pPr>
              <w:spacing w:before="0" w:after="60" w:line="252" w:lineRule="auto"/>
              <w:jc w:val="center"/>
            </w:pPr>
            <w:r>
              <w:rPr>
                <w:b/>
                <w:color w:val="0B2545"/>
                <w:sz w:val="24"/>
              </w:rPr>
              <w:t>5. Webhook</w:t>
            </w:r>
          </w:p>
          <w:p>
            <w:pPr>
              <w:spacing w:before="0" w:after="0" w:line="252" w:lineRule="auto"/>
              <w:jc w:val="center"/>
            </w:pPr>
            <w:r>
              <w:rPr>
                <w:b w:val="0"/>
                <w:color w:val="202020"/>
                <w:sz w:val="20"/>
              </w:rPr>
              <w:t>Proveedor notifica pago confirmado.</w:t>
            </w:r>
          </w:p>
        </w:tc>
        <w:tc>
          <w:tcPr>
            <w:tcW w:type="dxa" w:w="312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  <w:shd w:fill="E8EEF5"/>
          </w:tcPr>
          <w:p>
            <w:pPr>
              <w:spacing w:before="0" w:after="60" w:line="252" w:lineRule="auto"/>
              <w:jc w:val="center"/>
            </w:pPr>
            <w:r>
              <w:rPr>
                <w:b/>
                <w:color w:val="0B2545"/>
                <w:sz w:val="24"/>
              </w:rPr>
              <w:t>6. Liberar</w:t>
            </w:r>
          </w:p>
          <w:p>
            <w:pPr>
              <w:spacing w:before="0" w:after="0" w:line="252" w:lineRule="auto"/>
              <w:jc w:val="center"/>
            </w:pPr>
            <w:r>
              <w:rPr>
                <w:b w:val="0"/>
                <w:color w:val="202020"/>
                <w:sz w:val="20"/>
              </w:rPr>
              <w:t>Backend valida y marca la orden como pagada.</w:t>
            </w:r>
          </w:p>
        </w:tc>
      </w:tr>
    </w:tbl>
    <w:p/>
    <w:p>
      <w:pPr>
        <w:pStyle w:val="Heading1"/>
      </w:pPr>
      <w:r>
        <w:t>Secuencia técnica</w:t>
      </w:r>
    </w:p>
    <w:p>
      <w:pPr>
        <w:pStyle w:val="ListNumber"/>
        <w:spacing w:before="0" w:after="120" w:line="280" w:lineRule="auto"/>
        <w:ind w:left="720" w:hanging="360"/>
      </w:pPr>
      <w:r>
        <w:t>El cliente llega al checkout y selecciona CoDi.</w:t>
      </w:r>
    </w:p>
    <w:p>
      <w:pPr>
        <w:pStyle w:val="ListNumber"/>
        <w:spacing w:before="0" w:after="120" w:line="280" w:lineRule="auto"/>
        <w:ind w:left="720" w:hanging="360"/>
      </w:pPr>
      <w:r>
        <w:t>El frontend llama al backend con el ID de la orden.</w:t>
      </w:r>
    </w:p>
    <w:p>
      <w:pPr>
        <w:pStyle w:val="ListNumber"/>
        <w:spacing w:before="0" w:after="120" w:line="280" w:lineRule="auto"/>
        <w:ind w:left="720" w:hanging="360"/>
      </w:pPr>
      <w:r>
        <w:t>El backend valida stock, monto, moneda, usuario y vencimiento.</w:t>
      </w:r>
    </w:p>
    <w:p>
      <w:pPr>
        <w:pStyle w:val="ListNumber"/>
        <w:spacing w:before="0" w:after="120" w:line="280" w:lineRule="auto"/>
        <w:ind w:left="720" w:hanging="360"/>
      </w:pPr>
      <w:r>
        <w:t>El backend crea un intento de pago con el proveedor CoDi.</w:t>
      </w:r>
    </w:p>
    <w:p>
      <w:pPr>
        <w:pStyle w:val="ListNumber"/>
        <w:spacing w:before="0" w:after="120" w:line="280" w:lineRule="auto"/>
        <w:ind w:left="720" w:hanging="360"/>
      </w:pPr>
      <w:r>
        <w:t>El proveedor responde con QR, push, link o payload de cobro.</w:t>
      </w:r>
    </w:p>
    <w:p>
      <w:pPr>
        <w:pStyle w:val="ListNumber"/>
        <w:spacing w:before="0" w:after="120" w:line="280" w:lineRule="auto"/>
        <w:ind w:left="720" w:hanging="360"/>
      </w:pPr>
      <w:r>
        <w:t>La web muestra pantalla de espera con QR, monto exacto y timer.</w:t>
      </w:r>
    </w:p>
    <w:p>
      <w:pPr>
        <w:pStyle w:val="ListNumber"/>
        <w:spacing w:before="0" w:after="120" w:line="280" w:lineRule="auto"/>
        <w:ind w:left="720" w:hanging="360"/>
      </w:pPr>
      <w:r>
        <w:t>El cliente autoriza desde su app bancaria.</w:t>
      </w:r>
    </w:p>
    <w:p>
      <w:pPr>
        <w:pStyle w:val="ListNumber"/>
        <w:spacing w:before="0" w:after="120" w:line="280" w:lineRule="auto"/>
        <w:ind w:left="720" w:hanging="360"/>
      </w:pPr>
      <w:r>
        <w:t>El proveedor envía webhook de cambio de estado.</w:t>
      </w:r>
    </w:p>
    <w:p>
      <w:pPr>
        <w:pStyle w:val="ListNumber"/>
        <w:spacing w:before="0" w:after="120" w:line="280" w:lineRule="auto"/>
        <w:ind w:left="720" w:hanging="360"/>
      </w:pPr>
      <w:r>
        <w:t>El backend valida firma/origen del webhook y consulta el pago por API.</w:t>
      </w:r>
    </w:p>
    <w:p>
      <w:pPr>
        <w:pStyle w:val="ListNumber"/>
        <w:spacing w:before="0" w:after="120" w:line="280" w:lineRule="auto"/>
        <w:ind w:left="720" w:hanging="360"/>
      </w:pPr>
      <w:r>
        <w:t>Si el pago está confirmado y el monto coincide, la orden pasa a pagada.</w:t>
      </w:r>
    </w:p>
    <w:p>
      <w:pPr>
        <w:pStyle w:val="Heading1"/>
      </w:pPr>
      <w:r>
        <w:t>Endpoints mínimos</w:t>
      </w:r>
    </w:p>
    <w:tbl>
      <w:tblPr>
        <w:tblStyle w:val="TableGrid"/>
        <w:tblW w:type="dxa" w:w="9360"/>
        <w:jc w:val="left"/>
        <w:tblLook w:firstColumn="1" w:firstRow="1" w:lastColumn="0" w:lastRow="0" w:noHBand="0" w:noVBand="1" w:val="04A0"/>
        <w:tblInd w:w="120" w:type="dxa"/>
      </w:tblPr>
      <w:tblGrid>
        <w:gridCol w:w="2050"/>
        <w:gridCol w:w="2100"/>
        <w:gridCol w:w="2510"/>
        <w:gridCol w:w="2700"/>
      </w:tblGrid>
      <w:tr>
        <w:trPr>
          <w:tblHeader w:val="true"/>
        </w:trPr>
        <w:tc>
          <w:tcPr>
            <w:tcW w:type="dxa" w:w="205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  <w:shd w:fill="F2F4F7"/>
          </w:tcPr>
          <w:p>
            <w:pPr>
              <w:jc w:val="center"/>
            </w:pPr>
            <w:r>
              <w:rPr>
                <w:b/>
                <w:color w:val="1F4D78"/>
              </w:rPr>
              <w:t>Endpoint</w:t>
            </w:r>
          </w:p>
        </w:tc>
        <w:tc>
          <w:tcPr>
            <w:tcW w:type="dxa" w:w="210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  <w:shd w:fill="F2F4F7"/>
          </w:tcPr>
          <w:p>
            <w:pPr>
              <w:jc w:val="center"/>
            </w:pPr>
            <w:r>
              <w:rPr>
                <w:b/>
                <w:color w:val="1F4D78"/>
              </w:rPr>
              <w:t>Quién lo llama</w:t>
            </w:r>
          </w:p>
        </w:tc>
        <w:tc>
          <w:tcPr>
            <w:tcW w:type="dxa" w:w="251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  <w:shd w:fill="F2F4F7"/>
          </w:tcPr>
          <w:p>
            <w:pPr>
              <w:jc w:val="center"/>
            </w:pPr>
            <w:r>
              <w:rPr>
                <w:b/>
                <w:color w:val="1F4D78"/>
              </w:rPr>
              <w:t>Qué hace</w:t>
            </w:r>
          </w:p>
        </w:tc>
        <w:tc>
          <w:tcPr>
            <w:tcW w:type="dxa" w:w="270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  <w:shd w:fill="F2F4F7"/>
          </w:tcPr>
          <w:p>
            <w:pPr>
              <w:jc w:val="center"/>
            </w:pPr>
            <w:r>
              <w:rPr>
                <w:b/>
                <w:color w:val="1F4D78"/>
              </w:rPr>
              <w:t>Resultado</w:t>
            </w:r>
          </w:p>
        </w:tc>
      </w:tr>
      <w:tr>
        <w:tc>
          <w:tcPr>
            <w:tcW w:type="dxa" w:w="2050"/>
          </w:tcPr>
          <w:p>
            <w:pPr>
              <w:spacing w:before="0" w:after="0" w:line="252" w:lineRule="auto"/>
            </w:pPr>
            <w:r>
              <w:rPr>
                <w:b/>
                <w:color w:val="0B2545"/>
                <w:sz w:val="19"/>
              </w:rPr>
              <w:t>POST /pay/codi</w:t>
            </w:r>
          </w:p>
        </w:tc>
        <w:tc>
          <w:tcPr>
            <w:tcW w:type="dxa" w:w="2100"/>
          </w:tcPr>
          <w:p>
            <w:pPr>
              <w:spacing w:before="0" w:after="0" w:line="252" w:lineRule="auto"/>
            </w:pPr>
            <w:r>
              <w:rPr>
                <w:b w:val="0"/>
                <w:sz w:val="19"/>
              </w:rPr>
              <w:t>Frontend</w:t>
            </w:r>
          </w:p>
        </w:tc>
        <w:tc>
          <w:tcPr>
            <w:tcW w:type="dxa" w:w="2510"/>
          </w:tcPr>
          <w:p>
            <w:pPr>
              <w:spacing w:before="0" w:after="0" w:line="252" w:lineRule="auto"/>
            </w:pPr>
            <w:r>
              <w:rPr>
                <w:b w:val="0"/>
                <w:sz w:val="19"/>
              </w:rPr>
              <w:t>Crea orden o intento de pago CoDi con monto, moneda y order_id.</w:t>
            </w:r>
          </w:p>
        </w:tc>
        <w:tc>
          <w:tcPr>
            <w:tcW w:type="dxa" w:w="2700"/>
          </w:tcPr>
          <w:p>
            <w:pPr>
              <w:spacing w:before="0" w:after="0" w:line="252" w:lineRule="auto"/>
            </w:pPr>
            <w:r>
              <w:rPr>
                <w:b w:val="0"/>
                <w:sz w:val="19"/>
              </w:rPr>
              <w:t>Devuelve QR, link, expiración e ID del proveedor.</w:t>
            </w:r>
          </w:p>
        </w:tc>
      </w:tr>
      <w:tr>
        <w:tc>
          <w:tcPr>
            <w:tcW w:type="dxa" w:w="2050"/>
          </w:tcPr>
          <w:p>
            <w:pPr>
              <w:spacing w:before="0" w:after="0" w:line="252" w:lineRule="auto"/>
            </w:pPr>
            <w:r>
              <w:rPr>
                <w:b/>
                <w:color w:val="0B2545"/>
                <w:sz w:val="19"/>
              </w:rPr>
              <w:t>GET /order/status</w:t>
            </w:r>
          </w:p>
        </w:tc>
        <w:tc>
          <w:tcPr>
            <w:tcW w:type="dxa" w:w="2100"/>
          </w:tcPr>
          <w:p>
            <w:pPr>
              <w:spacing w:before="0" w:after="0" w:line="252" w:lineRule="auto"/>
            </w:pPr>
            <w:r>
              <w:rPr>
                <w:b w:val="0"/>
                <w:sz w:val="19"/>
              </w:rPr>
              <w:t>Frontend</w:t>
            </w:r>
          </w:p>
        </w:tc>
        <w:tc>
          <w:tcPr>
            <w:tcW w:type="dxa" w:w="2510"/>
          </w:tcPr>
          <w:p>
            <w:pPr>
              <w:spacing w:before="0" w:after="0" w:line="252" w:lineRule="auto"/>
            </w:pPr>
            <w:r>
              <w:rPr>
                <w:b w:val="0"/>
                <w:sz w:val="19"/>
              </w:rPr>
              <w:t>Consulta estado mientras el cliente está en pantalla de espera.</w:t>
            </w:r>
          </w:p>
        </w:tc>
        <w:tc>
          <w:tcPr>
            <w:tcW w:type="dxa" w:w="2700"/>
          </w:tcPr>
          <w:p>
            <w:pPr>
              <w:spacing w:before="0" w:after="0" w:line="252" w:lineRule="auto"/>
            </w:pPr>
            <w:r>
              <w:rPr>
                <w:b w:val="0"/>
                <w:sz w:val="19"/>
              </w:rPr>
              <w:t>Devuelve pendiente, pagado, expirado o fallido.</w:t>
            </w:r>
          </w:p>
        </w:tc>
      </w:tr>
      <w:tr>
        <w:tc>
          <w:tcPr>
            <w:tcW w:type="dxa" w:w="2050"/>
          </w:tcPr>
          <w:p>
            <w:pPr>
              <w:spacing w:before="0" w:after="0" w:line="252" w:lineRule="auto"/>
            </w:pPr>
            <w:r>
              <w:rPr>
                <w:b/>
                <w:color w:val="0B2545"/>
                <w:sz w:val="19"/>
              </w:rPr>
              <w:t>POST /webhook/codi</w:t>
            </w:r>
          </w:p>
        </w:tc>
        <w:tc>
          <w:tcPr>
            <w:tcW w:type="dxa" w:w="2100"/>
          </w:tcPr>
          <w:p>
            <w:pPr>
              <w:spacing w:before="0" w:after="0" w:line="252" w:lineRule="auto"/>
            </w:pPr>
            <w:r>
              <w:rPr>
                <w:b w:val="0"/>
                <w:sz w:val="19"/>
              </w:rPr>
              <w:t>Proveedor</w:t>
            </w:r>
          </w:p>
        </w:tc>
        <w:tc>
          <w:tcPr>
            <w:tcW w:type="dxa" w:w="2510"/>
          </w:tcPr>
          <w:p>
            <w:pPr>
              <w:spacing w:before="0" w:after="0" w:line="252" w:lineRule="auto"/>
            </w:pPr>
            <w:r>
              <w:rPr>
                <w:b w:val="0"/>
                <w:sz w:val="19"/>
              </w:rPr>
              <w:t>Recibe evento de pago. Debe validar firma y consultar API del proveedor.</w:t>
            </w:r>
          </w:p>
        </w:tc>
        <w:tc>
          <w:tcPr>
            <w:tcW w:type="dxa" w:w="2700"/>
          </w:tcPr>
          <w:p>
            <w:pPr>
              <w:spacing w:before="0" w:after="0" w:line="252" w:lineRule="auto"/>
            </w:pPr>
            <w:r>
              <w:rPr>
                <w:b w:val="0"/>
                <w:sz w:val="19"/>
              </w:rPr>
              <w:t>Actualiza orden de forma idempotente.</w:t>
            </w:r>
          </w:p>
        </w:tc>
      </w:tr>
      <w:tr>
        <w:tc>
          <w:tcPr>
            <w:tcW w:type="dxa" w:w="2050"/>
          </w:tcPr>
          <w:p>
            <w:pPr>
              <w:spacing w:before="0" w:after="0" w:line="252" w:lineRule="auto"/>
            </w:pPr>
            <w:r>
              <w:rPr>
                <w:b/>
                <w:color w:val="0B2545"/>
                <w:sz w:val="19"/>
              </w:rPr>
              <w:t>POST /order/cancel</w:t>
            </w:r>
          </w:p>
        </w:tc>
        <w:tc>
          <w:tcPr>
            <w:tcW w:type="dxa" w:w="2100"/>
          </w:tcPr>
          <w:p>
            <w:pPr>
              <w:spacing w:before="0" w:after="0" w:line="252" w:lineRule="auto"/>
            </w:pPr>
            <w:r>
              <w:rPr>
                <w:b w:val="0"/>
                <w:sz w:val="19"/>
              </w:rPr>
              <w:t>Frontend/Admin</w:t>
            </w:r>
          </w:p>
        </w:tc>
        <w:tc>
          <w:tcPr>
            <w:tcW w:type="dxa" w:w="2510"/>
          </w:tcPr>
          <w:p>
            <w:pPr>
              <w:spacing w:before="0" w:after="0" w:line="252" w:lineRule="auto"/>
            </w:pPr>
            <w:r>
              <w:rPr>
                <w:b w:val="0"/>
                <w:sz w:val="19"/>
              </w:rPr>
              <w:t>Cancela intento pendiente cuando vence o el cliente cambia método.</w:t>
            </w:r>
          </w:p>
        </w:tc>
        <w:tc>
          <w:tcPr>
            <w:tcW w:type="dxa" w:w="2700"/>
          </w:tcPr>
          <w:p>
            <w:pPr>
              <w:spacing w:before="0" w:after="0" w:line="252" w:lineRule="auto"/>
            </w:pPr>
            <w:r>
              <w:rPr>
                <w:b w:val="0"/>
                <w:sz w:val="19"/>
              </w:rPr>
              <w:t>Orden queda lista para nuevo intento.</w:t>
            </w:r>
          </w:p>
        </w:tc>
      </w:tr>
    </w:tbl>
    <w:p/>
    <w:p>
      <w:pPr>
        <w:pStyle w:val="Heading1"/>
      </w:pPr>
      <w:r>
        <w:t>Estados recomendados</w:t>
      </w:r>
    </w:p>
    <w:tbl>
      <w:tblPr>
        <w:tblStyle w:val="TableGrid"/>
        <w:tblW w:type="dxa" w:w="9360"/>
        <w:jc w:val="left"/>
        <w:tblLook w:firstColumn="1" w:firstRow="1" w:lastColumn="0" w:lastRow="0" w:noHBand="0" w:noVBand="1" w:val="04A0"/>
        <w:tblInd w:w="120" w:type="dxa"/>
      </w:tblPr>
      <w:tblGrid>
        <w:gridCol w:w="2600"/>
        <w:gridCol w:w="3000"/>
        <w:gridCol w:w="3760"/>
      </w:tblGrid>
      <w:tr>
        <w:trPr>
          <w:tblHeader w:val="true"/>
        </w:trPr>
        <w:tc>
          <w:tcPr>
            <w:tcW w:type="dxa" w:w="260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  <w:shd w:fill="F2F4F7"/>
          </w:tcPr>
          <w:p>
            <w:pPr>
              <w:jc w:val="center"/>
            </w:pPr>
            <w:r>
              <w:rPr>
                <w:b/>
                <w:color w:val="1F4D78"/>
              </w:rPr>
              <w:t>Estado</w:t>
            </w:r>
          </w:p>
        </w:tc>
        <w:tc>
          <w:tcPr>
            <w:tcW w:type="dxa" w:w="300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  <w:shd w:fill="F2F4F7"/>
          </w:tcPr>
          <w:p>
            <w:pPr>
              <w:jc w:val="center"/>
            </w:pPr>
            <w:r>
              <w:rPr>
                <w:b/>
                <w:color w:val="1F4D78"/>
              </w:rPr>
              <w:t>Cuándo se usa</w:t>
            </w:r>
          </w:p>
        </w:tc>
        <w:tc>
          <w:tcPr>
            <w:tcW w:type="dxa" w:w="376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  <w:shd w:fill="F2F4F7"/>
          </w:tcPr>
          <w:p>
            <w:pPr>
              <w:jc w:val="center"/>
            </w:pPr>
            <w:r>
              <w:rPr>
                <w:b/>
                <w:color w:val="1F4D78"/>
              </w:rPr>
              <w:t>Acción del sistema</w:t>
            </w:r>
          </w:p>
        </w:tc>
      </w:tr>
      <w:tr>
        <w:tc>
          <w:tcPr>
            <w:tcW w:type="dxa" w:w="2600"/>
          </w:tcPr>
          <w:p>
            <w:pPr>
              <w:spacing w:before="0" w:after="0" w:line="252" w:lineRule="auto"/>
            </w:pPr>
            <w:r>
              <w:rPr>
                <w:b/>
                <w:color w:val="0B2545"/>
                <w:sz w:val="19"/>
              </w:rPr>
              <w:t>created</w:t>
            </w:r>
          </w:p>
        </w:tc>
        <w:tc>
          <w:tcPr>
            <w:tcW w:type="dxa" w:w="3000"/>
          </w:tcPr>
          <w:p>
            <w:pPr>
              <w:spacing w:before="0" w:after="0" w:line="252" w:lineRule="auto"/>
            </w:pPr>
            <w:r>
              <w:rPr>
                <w:b w:val="0"/>
                <w:sz w:val="19"/>
              </w:rPr>
              <w:t>Orden creada, sin intento de pago.</w:t>
            </w:r>
          </w:p>
        </w:tc>
        <w:tc>
          <w:tcPr>
            <w:tcW w:type="dxa" w:w="3760"/>
          </w:tcPr>
          <w:p>
            <w:pPr>
              <w:spacing w:before="0" w:after="0" w:line="252" w:lineRule="auto"/>
            </w:pPr>
            <w:r>
              <w:rPr>
                <w:b w:val="0"/>
                <w:sz w:val="19"/>
              </w:rPr>
              <w:t>Permite elegir método.</w:t>
            </w:r>
          </w:p>
        </w:tc>
      </w:tr>
      <w:tr>
        <w:tc>
          <w:tcPr>
            <w:tcW w:type="dxa" w:w="2600"/>
          </w:tcPr>
          <w:p>
            <w:pPr>
              <w:spacing w:before="0" w:after="0" w:line="252" w:lineRule="auto"/>
            </w:pPr>
            <w:r>
              <w:rPr>
                <w:b/>
                <w:color w:val="0B2545"/>
                <w:sz w:val="19"/>
              </w:rPr>
              <w:t>pending_payment</w:t>
            </w:r>
          </w:p>
        </w:tc>
        <w:tc>
          <w:tcPr>
            <w:tcW w:type="dxa" w:w="3000"/>
          </w:tcPr>
          <w:p>
            <w:pPr>
              <w:spacing w:before="0" w:after="0" w:line="252" w:lineRule="auto"/>
            </w:pPr>
            <w:r>
              <w:rPr>
                <w:b w:val="0"/>
                <w:sz w:val="19"/>
              </w:rPr>
              <w:t>QR/push generado y no pagado aún.</w:t>
            </w:r>
          </w:p>
        </w:tc>
        <w:tc>
          <w:tcPr>
            <w:tcW w:type="dxa" w:w="3760"/>
          </w:tcPr>
          <w:p>
            <w:pPr>
              <w:spacing w:before="0" w:after="0" w:line="252" w:lineRule="auto"/>
            </w:pPr>
            <w:r>
              <w:rPr>
                <w:b w:val="0"/>
                <w:sz w:val="19"/>
              </w:rPr>
              <w:t>Muestra espera, QR, countdown y polling suave.</w:t>
            </w:r>
          </w:p>
        </w:tc>
      </w:tr>
      <w:tr>
        <w:tc>
          <w:tcPr>
            <w:tcW w:type="dxa" w:w="2600"/>
          </w:tcPr>
          <w:p>
            <w:pPr>
              <w:spacing w:before="0" w:after="0" w:line="252" w:lineRule="auto"/>
            </w:pPr>
            <w:r>
              <w:rPr>
                <w:b/>
                <w:color w:val="0B2545"/>
                <w:sz w:val="19"/>
              </w:rPr>
              <w:t>paid</w:t>
            </w:r>
          </w:p>
        </w:tc>
        <w:tc>
          <w:tcPr>
            <w:tcW w:type="dxa" w:w="3000"/>
          </w:tcPr>
          <w:p>
            <w:pPr>
              <w:spacing w:before="0" w:after="0" w:line="252" w:lineRule="auto"/>
            </w:pPr>
            <w:r>
              <w:rPr>
                <w:b w:val="0"/>
                <w:sz w:val="19"/>
              </w:rPr>
              <w:t>Webhook validado y monto correcto.</w:t>
            </w:r>
          </w:p>
        </w:tc>
        <w:tc>
          <w:tcPr>
            <w:tcW w:type="dxa" w:w="3760"/>
          </w:tcPr>
          <w:p>
            <w:pPr>
              <w:spacing w:before="0" w:after="0" w:line="252" w:lineRule="auto"/>
            </w:pPr>
            <w:r>
              <w:rPr>
                <w:b w:val="0"/>
                <w:sz w:val="19"/>
              </w:rPr>
              <w:t>Libera producto/servicio y envía confirmación.</w:t>
            </w:r>
          </w:p>
        </w:tc>
      </w:tr>
      <w:tr>
        <w:tc>
          <w:tcPr>
            <w:tcW w:type="dxa" w:w="2600"/>
          </w:tcPr>
          <w:p>
            <w:pPr>
              <w:spacing w:before="0" w:after="0" w:line="252" w:lineRule="auto"/>
            </w:pPr>
            <w:r>
              <w:rPr>
                <w:b/>
                <w:color w:val="0B2545"/>
                <w:sz w:val="19"/>
              </w:rPr>
              <w:t>expired</w:t>
            </w:r>
          </w:p>
        </w:tc>
        <w:tc>
          <w:tcPr>
            <w:tcW w:type="dxa" w:w="3000"/>
          </w:tcPr>
          <w:p>
            <w:pPr>
              <w:spacing w:before="0" w:after="0" w:line="252" w:lineRule="auto"/>
            </w:pPr>
            <w:r>
              <w:rPr>
                <w:b w:val="0"/>
                <w:sz w:val="19"/>
              </w:rPr>
              <w:t>El QR o intento venció.</w:t>
            </w:r>
          </w:p>
        </w:tc>
        <w:tc>
          <w:tcPr>
            <w:tcW w:type="dxa" w:w="3760"/>
          </w:tcPr>
          <w:p>
            <w:pPr>
              <w:spacing w:before="0" w:after="0" w:line="252" w:lineRule="auto"/>
            </w:pPr>
            <w:r>
              <w:rPr>
                <w:b w:val="0"/>
                <w:sz w:val="19"/>
              </w:rPr>
              <w:t>Permite generar un nuevo intento.</w:t>
            </w:r>
          </w:p>
        </w:tc>
      </w:tr>
      <w:tr>
        <w:tc>
          <w:tcPr>
            <w:tcW w:type="dxa" w:w="2600"/>
          </w:tcPr>
          <w:p>
            <w:pPr>
              <w:spacing w:before="0" w:after="0" w:line="252" w:lineRule="auto"/>
            </w:pPr>
            <w:r>
              <w:rPr>
                <w:b/>
                <w:color w:val="0B2545"/>
                <w:sz w:val="19"/>
              </w:rPr>
              <w:t>failed</w:t>
            </w:r>
          </w:p>
        </w:tc>
        <w:tc>
          <w:tcPr>
            <w:tcW w:type="dxa" w:w="3000"/>
          </w:tcPr>
          <w:p>
            <w:pPr>
              <w:spacing w:before="0" w:after="0" w:line="252" w:lineRule="auto"/>
            </w:pPr>
            <w:r>
              <w:rPr>
                <w:b w:val="0"/>
                <w:sz w:val="19"/>
              </w:rPr>
              <w:t>Proveedor rechazó o no pudo completar.</w:t>
            </w:r>
          </w:p>
        </w:tc>
        <w:tc>
          <w:tcPr>
            <w:tcW w:type="dxa" w:w="3760"/>
          </w:tcPr>
          <w:p>
            <w:pPr>
              <w:spacing w:before="0" w:after="0" w:line="252" w:lineRule="auto"/>
            </w:pPr>
            <w:r>
              <w:rPr>
                <w:b w:val="0"/>
                <w:sz w:val="19"/>
              </w:rPr>
              <w:t>Muestra alternativa de pago.</w:t>
            </w:r>
          </w:p>
        </w:tc>
      </w:tr>
      <w:tr>
        <w:tc>
          <w:tcPr>
            <w:tcW w:type="dxa" w:w="2600"/>
          </w:tcPr>
          <w:p>
            <w:pPr>
              <w:spacing w:before="0" w:after="0" w:line="252" w:lineRule="auto"/>
            </w:pPr>
            <w:r>
              <w:rPr>
                <w:b/>
                <w:color w:val="0B2545"/>
                <w:sz w:val="19"/>
              </w:rPr>
              <w:t>manual_review</w:t>
            </w:r>
          </w:p>
        </w:tc>
        <w:tc>
          <w:tcPr>
            <w:tcW w:type="dxa" w:w="3000"/>
          </w:tcPr>
          <w:p>
            <w:pPr>
              <w:spacing w:before="0" w:after="0" w:line="252" w:lineRule="auto"/>
            </w:pPr>
            <w:r>
              <w:rPr>
                <w:b w:val="0"/>
                <w:sz w:val="19"/>
              </w:rPr>
              <w:t>Monto incorrecto, duplicado o pago fuera de tiempo.</w:t>
            </w:r>
          </w:p>
        </w:tc>
        <w:tc>
          <w:tcPr>
            <w:tcW w:type="dxa" w:w="3760"/>
          </w:tcPr>
          <w:p>
            <w:pPr>
              <w:spacing w:before="0" w:after="0" w:line="252" w:lineRule="auto"/>
            </w:pPr>
            <w:r>
              <w:rPr>
                <w:b w:val="0"/>
                <w:sz w:val="19"/>
              </w:rPr>
              <w:t>No liberar automáticamente; revisar operación.</w:t>
            </w:r>
          </w:p>
        </w:tc>
      </w:tr>
    </w:tbl>
    <w:p/>
    <w:p>
      <w:pPr>
        <w:pStyle w:val="Heading1"/>
      </w:pPr>
      <w:r>
        <w:t>Datos que deberías guardar</w:t>
      </w:r>
    </w:p>
    <w:p>
      <w:pPr>
        <w:pStyle w:val="ListBullet"/>
        <w:spacing w:before="0" w:after="120" w:line="280" w:lineRule="auto"/>
        <w:ind w:left="720" w:hanging="360"/>
      </w:pPr>
      <w:r>
        <w:t>order_id interno.</w:t>
      </w:r>
    </w:p>
    <w:p>
      <w:pPr>
        <w:pStyle w:val="ListBullet"/>
        <w:spacing w:before="0" w:after="120" w:line="280" w:lineRule="auto"/>
        <w:ind w:left="720" w:hanging="360"/>
      </w:pPr>
      <w:r>
        <w:t>payment_attempt_id interno.</w:t>
      </w:r>
    </w:p>
    <w:p>
      <w:pPr>
        <w:pStyle w:val="ListBullet"/>
        <w:spacing w:before="0" w:after="120" w:line="280" w:lineRule="auto"/>
        <w:ind w:left="720" w:hanging="360"/>
      </w:pPr>
      <w:r>
        <w:t>provider_payment_id o transaction_id.</w:t>
      </w:r>
    </w:p>
    <w:p>
      <w:pPr>
        <w:pStyle w:val="ListBullet"/>
        <w:spacing w:before="0" w:after="120" w:line="280" w:lineRule="auto"/>
        <w:ind w:left="720" w:hanging="360"/>
      </w:pPr>
      <w:r>
        <w:t>monto exacto y moneda MXN.</w:t>
      </w:r>
    </w:p>
    <w:p>
      <w:pPr>
        <w:pStyle w:val="ListBullet"/>
        <w:spacing w:before="0" w:after="120" w:line="280" w:lineRule="auto"/>
        <w:ind w:left="720" w:hanging="360"/>
      </w:pPr>
      <w:r>
        <w:t>estado de orden y estado del intento de pago.</w:t>
      </w:r>
    </w:p>
    <w:p>
      <w:pPr>
        <w:pStyle w:val="ListBullet"/>
        <w:spacing w:before="0" w:after="120" w:line="280" w:lineRule="auto"/>
        <w:ind w:left="720" w:hanging="360"/>
      </w:pPr>
      <w:r>
        <w:t>fecha de creación, vencimiento y confirmación.</w:t>
      </w:r>
    </w:p>
    <w:p>
      <w:pPr>
        <w:pStyle w:val="ListBullet"/>
        <w:spacing w:before="0" w:after="120" w:line="280" w:lineRule="auto"/>
        <w:ind w:left="720" w:hanging="360"/>
      </w:pPr>
      <w:r>
        <w:t>payload de webhook recibido, firma y resultado de validación.</w:t>
      </w:r>
    </w:p>
    <w:p>
      <w:pPr>
        <w:pStyle w:val="ListBullet"/>
        <w:spacing w:before="0" w:after="120" w:line="280" w:lineRule="auto"/>
        <w:ind w:left="720" w:hanging="360"/>
      </w:pPr>
      <w:r>
        <w:t>método usado: QR, push o link.</w:t>
      </w:r>
    </w:p>
    <w:p>
      <w:pPr>
        <w:pStyle w:val="Heading1"/>
      </w:pPr>
      <w:r>
        <w:t>UX recomendada</w:t>
      </w:r>
    </w:p>
    <w:p>
      <w:pPr>
        <w:pStyle w:val="ListBullet"/>
        <w:spacing w:before="0" w:after="120" w:line="280" w:lineRule="auto"/>
        <w:ind w:left="720" w:hanging="360"/>
      </w:pPr>
      <w:r>
        <w:t>Desktop: mostrar QR grande, monto exacto, banco/app esperada y timer.</w:t>
      </w:r>
    </w:p>
    <w:p>
      <w:pPr>
        <w:pStyle w:val="ListBullet"/>
        <w:spacing w:before="0" w:after="120" w:line="280" w:lineRule="auto"/>
        <w:ind w:left="720" w:hanging="360"/>
      </w:pPr>
      <w:r>
        <w:t>Mobile: preferir push o link; si solo hay QR, ofrecer copiar instrucciones o cambiar método.</w:t>
      </w:r>
    </w:p>
    <w:p>
      <w:pPr>
        <w:pStyle w:val="ListBullet"/>
        <w:spacing w:before="0" w:after="120" w:line="280" w:lineRule="auto"/>
        <w:ind w:left="720" w:hanging="360"/>
      </w:pPr>
      <w:r>
        <w:t>No pedir comprobante como mecanismo principal; puede servir solo para soporte.</w:t>
      </w:r>
    </w:p>
    <w:p>
      <w:pPr>
        <w:pStyle w:val="ListBullet"/>
        <w:spacing w:before="0" w:after="120" w:line="280" w:lineRule="auto"/>
        <w:ind w:left="720" w:hanging="360"/>
      </w:pPr>
      <w:r>
        <w:t>Mostrar estado claro: esperando pago, pago recibido, vencido o hubo un problema.</w:t>
      </w:r>
    </w:p>
    <w:p>
      <w:pPr>
        <w:pStyle w:val="ListBullet"/>
        <w:spacing w:before="0" w:after="120" w:line="280" w:lineRule="auto"/>
        <w:ind w:left="720" w:hanging="360"/>
      </w:pPr>
      <w:r>
        <w:t>Mantener tarjeta/Mercado Pago como alternativa si el cliente no puede pagar con CoDi.</w:t>
      </w:r>
    </w:p>
    <w:p>
      <w:pPr>
        <w:pStyle w:val="Heading1"/>
      </w:pPr>
      <w:r>
        <w:t>Casos borde que hay que manejar</w:t>
      </w:r>
    </w:p>
    <w:p>
      <w:pPr>
        <w:pStyle w:val="ListBullet"/>
        <w:spacing w:before="0" w:after="120" w:line="280" w:lineRule="auto"/>
        <w:ind w:left="720" w:hanging="360"/>
      </w:pPr>
      <w:r>
        <w:t>Webhook duplicado: debe ser idempotente y no liberar dos veces.</w:t>
      </w:r>
    </w:p>
    <w:p>
      <w:pPr>
        <w:pStyle w:val="ListBullet"/>
        <w:spacing w:before="0" w:after="120" w:line="280" w:lineRule="auto"/>
        <w:ind w:left="720" w:hanging="360"/>
      </w:pPr>
      <w:r>
        <w:t>Pago por monto diferente: mandar a revisión manual.</w:t>
      </w:r>
    </w:p>
    <w:p>
      <w:pPr>
        <w:pStyle w:val="ListBullet"/>
        <w:spacing w:before="0" w:after="120" w:line="280" w:lineRule="auto"/>
        <w:ind w:left="720" w:hanging="360"/>
      </w:pPr>
      <w:r>
        <w:t>Pago después del vencimiento: decidir si aceptar, rechazar o revisar.</w:t>
      </w:r>
    </w:p>
    <w:p>
      <w:pPr>
        <w:pStyle w:val="ListBullet"/>
        <w:spacing w:before="0" w:after="120" w:line="280" w:lineRule="auto"/>
        <w:ind w:left="720" w:hanging="360"/>
      </w:pPr>
      <w:r>
        <w:t>Cliente cierra la página: el webhook debe completar la orden igual.</w:t>
      </w:r>
    </w:p>
    <w:p>
      <w:pPr>
        <w:pStyle w:val="ListBullet"/>
        <w:spacing w:before="0" w:after="120" w:line="280" w:lineRule="auto"/>
        <w:ind w:left="720" w:hanging="360"/>
      </w:pPr>
      <w:r>
        <w:t>Proveedor caído: permitir reintento o método alternativo.</w:t>
      </w:r>
    </w:p>
    <w:p>
      <w:pPr>
        <w:pStyle w:val="ListBullet"/>
        <w:spacing w:before="0" w:after="120" w:line="280" w:lineRule="auto"/>
        <w:ind w:left="720" w:hanging="360"/>
      </w:pPr>
      <w:r>
        <w:t>Reembolso: definir proceso operativo, porque puede no ser tan automático como tarjeta.</w:t>
      </w:r>
    </w:p>
    <w:p>
      <w:pPr>
        <w:pStyle w:val="Heading1"/>
      </w:pPr>
      <w:r>
        <w:t>Checklist antes de contratar proveedor</w:t>
      </w:r>
    </w:p>
    <w:p>
      <w:pPr>
        <w:pStyle w:val="ListBullet"/>
        <w:spacing w:before="0" w:after="120" w:line="280" w:lineRule="auto"/>
        <w:ind w:left="720" w:hanging="360"/>
      </w:pPr>
      <w:r>
        <w:t>Confirmar si la comisión por pago CoDi es $0 real.</w:t>
      </w:r>
    </w:p>
    <w:p>
      <w:pPr>
        <w:pStyle w:val="ListBullet"/>
        <w:spacing w:before="0" w:after="120" w:line="280" w:lineRule="auto"/>
        <w:ind w:left="720" w:hanging="360"/>
      </w:pPr>
      <w:r>
        <w:t>Confirmar alta, mensualidad, mínimo mensual, costo de API, CIE, portal o soporte.</w:t>
      </w:r>
    </w:p>
    <w:p>
      <w:pPr>
        <w:pStyle w:val="ListBullet"/>
        <w:spacing w:before="0" w:after="120" w:line="280" w:lineRule="auto"/>
        <w:ind w:left="720" w:hanging="360"/>
      </w:pPr>
      <w:r>
        <w:t>Confirmar sandbox y documentación técnica.</w:t>
      </w:r>
    </w:p>
    <w:p>
      <w:pPr>
        <w:pStyle w:val="ListBullet"/>
        <w:spacing w:before="0" w:after="120" w:line="280" w:lineRule="auto"/>
        <w:ind w:left="720" w:hanging="360"/>
      </w:pPr>
      <w:r>
        <w:t>Confirmar webhook de pago confirmado y método de firma/seguridad.</w:t>
      </w:r>
    </w:p>
    <w:p>
      <w:pPr>
        <w:pStyle w:val="ListBullet"/>
        <w:spacing w:before="0" w:after="120" w:line="280" w:lineRule="auto"/>
        <w:ind w:left="720" w:hanging="360"/>
      </w:pPr>
      <w:r>
        <w:t>Confirmar QR dinámico, push y/o link para mobile.</w:t>
      </w:r>
    </w:p>
    <w:p>
      <w:pPr>
        <w:pStyle w:val="ListBullet"/>
        <w:spacing w:before="0" w:after="120" w:line="280" w:lineRule="auto"/>
        <w:ind w:left="720" w:hanging="360"/>
      </w:pPr>
      <w:r>
        <w:t>Confirmar límite por operación y tiempo de liquidación.</w:t>
      </w:r>
    </w:p>
    <w:p>
      <w:pPr>
        <w:pStyle w:val="ListBullet"/>
        <w:spacing w:before="0" w:after="120" w:line="280" w:lineRule="auto"/>
        <w:ind w:left="720" w:hanging="360"/>
      </w:pPr>
      <w:r>
        <w:t>Confirmar requisitos fiscales y bancarios para México.</w:t>
      </w:r>
    </w:p>
    <w:p>
      <w:pPr>
        <w:pStyle w:val="Heading1"/>
      </w:pPr>
      <w:r>
        <w:t>Implementación por etapas</w:t>
      </w:r>
    </w:p>
    <w:p>
      <w:pPr>
        <w:pStyle w:val="ListBullet"/>
        <w:spacing w:before="0" w:after="120" w:line="280" w:lineRule="auto"/>
        <w:ind w:left="720" w:hanging="360"/>
      </w:pPr>
      <w:r>
        <w:t>Etapa 1: integrar sandbox, crear QR por orden y recibir webhook.</w:t>
      </w:r>
    </w:p>
    <w:p>
      <w:pPr>
        <w:pStyle w:val="ListBullet"/>
        <w:spacing w:before="0" w:after="120" w:line="280" w:lineRule="auto"/>
        <w:ind w:left="720" w:hanging="360"/>
      </w:pPr>
      <w:r>
        <w:t>Etapa 2: agregar pantalla de espera con polling y manejo de vencimiento.</w:t>
      </w:r>
    </w:p>
    <w:p>
      <w:pPr>
        <w:pStyle w:val="ListBullet"/>
        <w:spacing w:before="0" w:after="120" w:line="280" w:lineRule="auto"/>
        <w:ind w:left="720" w:hanging="360"/>
      </w:pPr>
      <w:r>
        <w:t>Etapa 3: validar casos borde, idempotencia y revisión manual.</w:t>
      </w:r>
    </w:p>
    <w:p>
      <w:pPr>
        <w:pStyle w:val="ListBullet"/>
        <w:spacing w:before="0" w:after="120" w:line="280" w:lineRule="auto"/>
        <w:ind w:left="720" w:hanging="360"/>
      </w:pPr>
      <w:r>
        <w:t>Etapa 4: liberar producción con montos chicos y monitoreo.</w:t>
      </w:r>
    </w:p>
    <w:p>
      <w:pPr>
        <w:pStyle w:val="ListBullet"/>
        <w:spacing w:before="0" w:after="120" w:line="280" w:lineRule="auto"/>
        <w:ind w:left="720" w:hanging="360"/>
      </w:pPr>
      <w:r>
        <w:t>Etapa 5: optimizar mobile con push/link si el proveedor lo soporta.</w:t>
      </w:r>
    </w:p>
    <w:sectPr w:rsidR="00FC693F" w:rsidRPr="0006063C" w:rsidSect="00034616">
      <w:footerReference w:type="default" r:id="rId9"/>
      <w:pgSz w:w="12240" w:h="15840"/>
      <w:pgMar w:top="1224" w:right="1224" w:bottom="1224" w:left="1224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color w:val="666666"/>
        <w:sz w:val="18"/>
      </w:rPr>
      <w:t>Flujo CoDi web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4" w:lineRule="auto"/>
    </w:pPr>
    <w:rPr>
      <w:rFonts w:ascii="Calibri" w:hAnsi="Calibri" w:eastAsia="Calibri"/>
      <w:color w:val="20202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40"/>
      <w:outlineLvl w:val="0"/>
    </w:pPr>
    <w:rPr>
      <w:rFonts w:asciiTheme="majorHAnsi" w:eastAsiaTheme="majorEastAsia" w:hAnsiTheme="majorHAnsi" w:cstheme="majorBidi" w:ascii="Calibri" w:hAnsi="Calibri" w:eastAsia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00"/>
      <w:outlineLvl w:val="1"/>
    </w:pPr>
    <w:rPr>
      <w:rFonts w:asciiTheme="majorHAnsi" w:eastAsiaTheme="majorEastAsia" w:hAnsiTheme="majorHAnsi" w:cstheme="majorBidi" w:ascii="Calibri" w:hAnsi="Calibri" w:eastAsia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Calibri" w:hAnsi="Calibri" w:eastAsia="Calibr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