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40" w:lineRule="auto"/>
        <w:jc w:val="left"/>
      </w:pPr>
      <w:r>
        <w:rPr>
          <w:rFonts w:ascii="Calibri Light" w:hAnsi="Calibri Light"/>
          <w:color w:val="0B2545"/>
          <w:sz w:val="48"/>
        </w:rPr>
        <w:t>Opciones de pago bajo costo en México</w:t>
      </w:r>
    </w:p>
    <w:p>
      <w:pPr>
        <w:spacing w:before="0" w:after="240" w:line="276" w:lineRule="auto"/>
      </w:pPr>
      <w:r>
        <w:rPr>
          <w:b w:val="0"/>
          <w:color w:val="555555"/>
        </w:rPr>
        <w:t>Comparación práctica entre CoDi vía proveedor y SPEI con CLABE única para reducir comisiones sin perder confirmación automática.</w:t>
      </w:r>
    </w:p>
    <w:tbl>
      <w:tblPr>
        <w:tblW w:type="dxa" w:w="936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80" w:line="264" w:lineRule="auto"/>
            </w:pPr>
            <w:r>
              <w:rPr>
                <w:b/>
                <w:color w:val="1F3A5F"/>
              </w:rPr>
              <w:t>Recomendación corta:</w:t>
            </w:r>
            <w:r>
              <w:t xml:space="preserve"> usar transferencia SPEI con CLABE única como opción de bajo costo principal y evaluar CoDi como flujo rápido si el proveedor ofrece QR/push y webhook confiable.</w:t>
            </w:r>
          </w:p>
        </w:tc>
      </w:tr>
    </w:tbl>
    <w:p/>
    <w:p>
      <w:pPr>
        <w:pStyle w:val="Heading1"/>
      </w:pPr>
      <w:r>
        <w:t>Contexto</w:t>
      </w:r>
    </w:p>
    <w:p>
      <w:r>
        <w:t>El objetivo no es eliminar toda comisión, sino bajar el costo por cobro frente a tarjeta o Mercado Pago sin volver manual la operación. La clave técnica es que cada pago pueda identificarse contra una orden y que el backend reciba una confirmación automática antes de liberar la compra.</w:t>
      </w:r>
    </w:p>
    <w:p>
      <w:pPr>
        <w:pStyle w:val="Heading1"/>
      </w:pPr>
      <w:r>
        <w:t>Comparación rápida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</w:tblPr>
      <w:tblGrid>
        <w:gridCol w:w="2100"/>
        <w:gridCol w:w="3630"/>
        <w:gridCol w:w="363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Criterio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CoDi vía proveedor</w:t>
            </w:r>
          </w:p>
        </w:tc>
        <w:tc>
          <w:tcPr>
            <w:tcW w:type="dxa" w:w="36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  <w:t>SPEI con CLABE única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b/>
              </w:rPr>
              <w:t>Experiencia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QR o notificación de cobro; el cliente autoriza desde su app bancaria.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El cliente transfiere a una CLABE o referencia única desde su banco.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b/>
              </w:rPr>
              <w:t>Costo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Puede ser muy bajo; Banxico/CoDi no es el costo principal, pero el proveedor puede cobrar.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Suele ser más barato que tarjeta; depende de tarifa fija, mensualidad y proveedor.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b/>
              </w:rPr>
              <w:t>Confirmación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Buena si el proveedor envía evento/webhook de pago aceptado.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Muy buena si cada orden tiene CLABE o referencia única y webhook de conciliación.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b/>
              </w:rPr>
              <w:t>Fricción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Baja en desktop con QR; en mobile requiere push/link para no obligar a escanear la misma pantalla.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Media: copiar datos, abrir banco, transferir y esperar confirmación.</w:t>
            </w:r>
          </w:p>
        </w:tc>
      </w:tr>
      <w:tr>
        <w:tc>
          <w:tcPr>
            <w:tcW w:type="dxa" w:w="2100"/>
          </w:tcPr>
          <w:p>
            <w:pPr>
              <w:spacing w:before="0" w:after="0" w:line="264" w:lineRule="auto"/>
            </w:pPr>
            <w:r>
              <w:rPr>
                <w:b/>
              </w:rPr>
              <w:t>Mejor caso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Tickets bajos o medios, clientes bancarizados y búsqueda fuerte de menor comisión.</w:t>
            </w:r>
          </w:p>
        </w:tc>
        <w:tc>
          <w:tcPr>
            <w:tcW w:type="dxa" w:w="3630"/>
          </w:tcPr>
          <w:p>
            <w:pPr>
              <w:spacing w:before="0" w:after="0" w:line="264" w:lineRule="auto"/>
            </w:pPr>
            <w:r>
              <w:t>Tickets medios o altos, necesidad de compatibilidad amplia con bancos y conciliación robusta.</w:t>
            </w:r>
          </w:p>
        </w:tc>
      </w:tr>
    </w:tbl>
    <w:p/>
    <w:p>
      <w:pPr>
        <w:pStyle w:val="Heading1"/>
      </w:pPr>
      <w:r>
        <w:t>Opción 1: CoDi vía proveedor</w:t>
      </w:r>
    </w:p>
    <w:p>
      <w:r>
        <w:t>CoDi funciona sobre la infraestructura de SPEI. En un flujo web, el comercio genera un QR dinámico o una notificación de cobro; el cliente autoriza desde su app bancaria y el sistema confirma el pago.</w:t>
      </w:r>
    </w:p>
    <w:p>
      <w:pPr>
        <w:pStyle w:val="Heading2"/>
      </w:pPr>
      <w:r>
        <w:t>Ventajas</w:t>
      </w:r>
    </w:p>
    <w:p>
      <w:pPr>
        <w:pStyle w:val="ListBullet"/>
        <w:spacing w:before="0" w:after="160" w:line="280" w:lineRule="auto"/>
        <w:ind w:left="720" w:hanging="360"/>
      </w:pPr>
      <w:r>
        <w:t>Puede tener costo muy bajo porque el pago no pasa por redes de tarjeta.</w:t>
      </w:r>
    </w:p>
    <w:p>
      <w:pPr>
        <w:pStyle w:val="ListBullet"/>
        <w:spacing w:before="0" w:after="160" w:line="280" w:lineRule="auto"/>
        <w:ind w:left="720" w:hanging="360"/>
      </w:pPr>
      <w:r>
        <w:t>Permite confirmación automática si el proveedor entrega webhook o evento de pago aceptado.</w:t>
      </w:r>
    </w:p>
    <w:p>
      <w:pPr>
        <w:pStyle w:val="ListBullet"/>
        <w:spacing w:before="0" w:after="160" w:line="280" w:lineRule="auto"/>
        <w:ind w:left="720" w:hanging="360"/>
      </w:pPr>
      <w:r>
        <w:t>La acreditación suele ser rápida porque opera sobre rails bancarios.</w:t>
      </w:r>
    </w:p>
    <w:p>
      <w:pPr>
        <w:pStyle w:val="ListBullet"/>
        <w:spacing w:before="0" w:after="160" w:line="280" w:lineRule="auto"/>
        <w:ind w:left="720" w:hanging="360"/>
      </w:pPr>
      <w:r>
        <w:t>Reduce riesgo de contracargos de tarjeta, ya que el pago es autorizado como transferencia.</w:t>
      </w:r>
    </w:p>
    <w:p>
      <w:pPr>
        <w:pStyle w:val="ListBullet"/>
        <w:spacing w:before="0" w:after="160" w:line="280" w:lineRule="auto"/>
        <w:ind w:left="720" w:hanging="360"/>
      </w:pPr>
      <w:r>
        <w:t>Es atractivo para tickets bajos o medios donde una comisión de 3% a 4% impacta mucho el margen.</w:t>
      </w:r>
    </w:p>
    <w:p>
      <w:pPr>
        <w:pStyle w:val="Heading2"/>
      </w:pPr>
      <w:r>
        <w:t>Desventajas</w:t>
      </w:r>
    </w:p>
    <w:p>
      <w:pPr>
        <w:pStyle w:val="ListBullet"/>
        <w:spacing w:before="0" w:after="160" w:line="280" w:lineRule="auto"/>
        <w:ind w:left="720" w:hanging="360"/>
      </w:pPr>
      <w:r>
        <w:t>Menor familiaridad para muchos compradores frente a tarjeta, Mercado Pago u OXXO.</w:t>
      </w:r>
    </w:p>
    <w:p>
      <w:pPr>
        <w:pStyle w:val="ListBullet"/>
        <w:spacing w:before="0" w:after="160" w:line="280" w:lineRule="auto"/>
        <w:ind w:left="720" w:hanging="360"/>
      </w:pPr>
      <w:r>
        <w:t>En celular, un QR en la misma pantalla es incómodo; conviene que el proveedor soporte push o link de autorización.</w:t>
      </w:r>
    </w:p>
    <w:p>
      <w:pPr>
        <w:pStyle w:val="ListBullet"/>
        <w:spacing w:before="0" w:after="160" w:line="280" w:lineRule="auto"/>
        <w:ind w:left="720" w:hanging="360"/>
      </w:pPr>
      <w:r>
        <w:t>La integración puede requerir contrato empresarial, onboarding, pruebas, requisitos fiscales y tarifas no públicas.</w:t>
      </w:r>
    </w:p>
    <w:p>
      <w:pPr>
        <w:pStyle w:val="ListBullet"/>
        <w:spacing w:before="0" w:after="160" w:line="280" w:lineRule="auto"/>
        <w:ind w:left="720" w:hanging="360"/>
      </w:pPr>
      <w:r>
        <w:t>No ofrece meses sin intereses ni beneficios de tarjeta.</w:t>
      </w:r>
    </w:p>
    <w:p>
      <w:pPr>
        <w:pStyle w:val="ListBullet"/>
        <w:spacing w:before="0" w:after="160" w:line="280" w:lineRule="auto"/>
        <w:ind w:left="720" w:hanging="360"/>
      </w:pPr>
      <w:r>
        <w:t>Puede tener límites por operación según banco/proveedor; conviene confirmarlo antes de elegirlo para tickets altos.</w:t>
      </w:r>
    </w:p>
    <w:p>
      <w:pPr>
        <w:pStyle w:val="Heading1"/>
      </w:pPr>
      <w:r>
        <w:t>Opción 2: SPEI con CLABE única</w:t>
      </w:r>
    </w:p>
    <w:p>
      <w:r>
        <w:t>En este modelo, el proveedor genera una CLABE o referencia única para cada orden o cliente. El comprador transfiere desde su banco y el proveedor notifica al backend cuando el dinero entra, permitiendo conciliación automática.</w:t>
      </w:r>
    </w:p>
    <w:p>
      <w:pPr>
        <w:pStyle w:val="Heading2"/>
      </w:pPr>
      <w:r>
        <w:t>Ventajas</w:t>
      </w:r>
    </w:p>
    <w:p>
      <w:pPr>
        <w:pStyle w:val="ListBullet"/>
        <w:spacing w:before="0" w:after="160" w:line="280" w:lineRule="auto"/>
        <w:ind w:left="720" w:hanging="360"/>
      </w:pPr>
      <w:r>
        <w:t>Más universal que CoDi: cualquier cliente con banca mexicana puede hacer SPEI.</w:t>
      </w:r>
    </w:p>
    <w:p>
      <w:pPr>
        <w:pStyle w:val="ListBullet"/>
        <w:spacing w:before="0" w:after="160" w:line="280" w:lineRule="auto"/>
        <w:ind w:left="720" w:hanging="360"/>
      </w:pPr>
      <w:r>
        <w:t>Suele funcionar mejor para tickets medios y altos.</w:t>
      </w:r>
    </w:p>
    <w:p>
      <w:pPr>
        <w:pStyle w:val="ListBullet"/>
        <w:spacing w:before="0" w:after="160" w:line="280" w:lineRule="auto"/>
        <w:ind w:left="720" w:hanging="360"/>
      </w:pPr>
      <w:r>
        <w:t>La conciliación puede ser muy robusta si cada orden tiene CLABE o referencia única.</w:t>
      </w:r>
    </w:p>
    <w:p>
      <w:pPr>
        <w:pStyle w:val="ListBullet"/>
        <w:spacing w:before="0" w:after="160" w:line="280" w:lineRule="auto"/>
        <w:ind w:left="720" w:hanging="360"/>
      </w:pPr>
      <w:r>
        <w:t>Puede ser mucho más barato que tarjeta, especialmente si el proveedor cobra fijo bajo por transacción.</w:t>
      </w:r>
    </w:p>
    <w:p>
      <w:pPr>
        <w:pStyle w:val="ListBullet"/>
        <w:spacing w:before="0" w:after="160" w:line="280" w:lineRule="auto"/>
        <w:ind w:left="720" w:hanging="360"/>
      </w:pPr>
      <w:r>
        <w:t>No depende de que el usuario conozca CoDi; solo necesita saber transferir.</w:t>
      </w:r>
    </w:p>
    <w:p>
      <w:pPr>
        <w:pStyle w:val="Heading2"/>
      </w:pPr>
      <w:r>
        <w:t>Desventajas</w:t>
      </w:r>
    </w:p>
    <w:p>
      <w:pPr>
        <w:pStyle w:val="ListBullet"/>
        <w:spacing w:before="0" w:after="160" w:line="280" w:lineRule="auto"/>
        <w:ind w:left="720" w:hanging="360"/>
      </w:pPr>
      <w:r>
        <w:t>Más fricción: copiar CLABE, abrir banco, transferir y volver al sitio.</w:t>
      </w:r>
    </w:p>
    <w:p>
      <w:pPr>
        <w:pStyle w:val="ListBullet"/>
        <w:spacing w:before="0" w:after="160" w:line="280" w:lineRule="auto"/>
        <w:ind w:left="720" w:hanging="360"/>
      </w:pPr>
      <w:r>
        <w:t>Hay que manejar casos operativos: monto incorrecto, pago tardío, pago duplicado, pago parcial o pago de más.</w:t>
      </w:r>
    </w:p>
    <w:p>
      <w:pPr>
        <w:pStyle w:val="ListBullet"/>
        <w:spacing w:before="0" w:after="160" w:line="280" w:lineRule="auto"/>
        <w:ind w:left="720" w:hanging="360"/>
      </w:pPr>
      <w:r>
        <w:t>El checkout se siente menos instantáneo que tarjeta si el banco demora la confirmación.</w:t>
      </w:r>
    </w:p>
    <w:p>
      <w:pPr>
        <w:pStyle w:val="ListBullet"/>
        <w:spacing w:before="0" w:after="160" w:line="280" w:lineRule="auto"/>
        <w:ind w:left="720" w:hanging="360"/>
      </w:pPr>
      <w:r>
        <w:t>El proveedor puede cobrar mensualidad, mínimo mensual, tarifa fija por transacción o tarifa por API.</w:t>
      </w:r>
    </w:p>
    <w:p>
      <w:pPr>
        <w:pStyle w:val="ListBullet"/>
        <w:spacing w:before="0" w:after="160" w:line="280" w:lineRule="auto"/>
        <w:ind w:left="720" w:hanging="360"/>
      </w:pPr>
      <w:r>
        <w:t>Los reembolsos se vuelven más manuales que con una pasarela de tarjeta.</w:t>
      </w:r>
    </w:p>
    <w:p>
      <w:pPr>
        <w:pStyle w:val="Heading1"/>
      </w:pPr>
      <w:r>
        <w:t>Flujo técnico recomendado</w:t>
      </w:r>
    </w:p>
    <w:p>
      <w:pPr>
        <w:pStyle w:val="ListNumber"/>
        <w:spacing w:before="0" w:after="160" w:line="280" w:lineRule="auto"/>
        <w:ind w:left="720" w:hanging="360"/>
      </w:pPr>
      <w:r>
        <w:t>Crear orden en estado pendiente_pago.</w:t>
      </w:r>
    </w:p>
    <w:p>
      <w:pPr>
        <w:pStyle w:val="ListNumber"/>
        <w:spacing w:before="0" w:after="160" w:line="280" w:lineRule="auto"/>
        <w:ind w:left="720" w:hanging="360"/>
      </w:pPr>
      <w:r>
        <w:t>Solicitar al proveedor un QR CoDi o una CLABE/referencia única para esa orden.</w:t>
      </w:r>
    </w:p>
    <w:p>
      <w:pPr>
        <w:pStyle w:val="ListNumber"/>
        <w:spacing w:before="0" w:after="160" w:line="280" w:lineRule="auto"/>
        <w:ind w:left="720" w:hanging="360"/>
      </w:pPr>
      <w:r>
        <w:t>Mostrar instrucciones y un tiempo de vencimiento claro en el checkout.</w:t>
      </w:r>
    </w:p>
    <w:p>
      <w:pPr>
        <w:pStyle w:val="ListNumber"/>
        <w:spacing w:before="0" w:after="160" w:line="280" w:lineRule="auto"/>
        <w:ind w:left="720" w:hanging="360"/>
      </w:pPr>
      <w:r>
        <w:t>Recibir webhook de pago confirmado en el backend.</w:t>
      </w:r>
    </w:p>
    <w:p>
      <w:pPr>
        <w:pStyle w:val="ListNumber"/>
        <w:spacing w:before="0" w:after="160" w:line="280" w:lineRule="auto"/>
        <w:ind w:left="720" w:hanging="360"/>
      </w:pPr>
      <w:r>
        <w:t>Consultar el pago en la API del proveedor antes de marcar la orden como pagada.</w:t>
      </w:r>
    </w:p>
    <w:p>
      <w:pPr>
        <w:pStyle w:val="ListNumber"/>
        <w:spacing w:before="0" w:after="160" w:line="280" w:lineRule="auto"/>
        <w:ind w:left="720" w:hanging="360"/>
      </w:pPr>
      <w:r>
        <w:t>Actualizar la orden de forma idempotente para evitar duplicados.</w:t>
      </w:r>
    </w:p>
    <w:p>
      <w:pPr>
        <w:pStyle w:val="Heading1"/>
      </w:pPr>
      <w:r>
        <w:t>Preguntas para proveedores</w:t>
      </w:r>
    </w:p>
    <w:p>
      <w:pPr>
        <w:pStyle w:val="ListBullet"/>
        <w:spacing w:before="0" w:after="160" w:line="280" w:lineRule="auto"/>
        <w:ind w:left="720" w:hanging="360"/>
      </w:pPr>
      <w:r>
        <w:t>¿Cuál es la comisión por pago SPEI/CoDi y cuál es el cargo fijo por transacción?</w:t>
      </w:r>
    </w:p>
    <w:p>
      <w:pPr>
        <w:pStyle w:val="ListBullet"/>
        <w:spacing w:before="0" w:after="160" w:line="280" w:lineRule="auto"/>
        <w:ind w:left="720" w:hanging="360"/>
      </w:pPr>
      <w:r>
        <w:t>¿Hay mensualidad, mínimo mensual, costo de alta o costo de API?</w:t>
      </w:r>
    </w:p>
    <w:p>
      <w:pPr>
        <w:pStyle w:val="ListBullet"/>
        <w:spacing w:before="0" w:after="160" w:line="280" w:lineRule="auto"/>
        <w:ind w:left="720" w:hanging="360"/>
      </w:pPr>
      <w:r>
        <w:t>¿El sistema genera CLABE única, referencia única, QR dinámico, push o link?</w:t>
      </w:r>
    </w:p>
    <w:p>
      <w:pPr>
        <w:pStyle w:val="ListBullet"/>
        <w:spacing w:before="0" w:after="160" w:line="280" w:lineRule="auto"/>
        <w:ind w:left="720" w:hanging="360"/>
      </w:pPr>
      <w:r>
        <w:t>¿El webhook se dispara solo cuando el pago está confirmado o también cuando está pendiente?</w:t>
      </w:r>
    </w:p>
    <w:p>
      <w:pPr>
        <w:pStyle w:val="ListBullet"/>
        <w:spacing w:before="0" w:after="160" w:line="280" w:lineRule="auto"/>
        <w:ind w:left="720" w:hanging="360"/>
      </w:pPr>
      <w:r>
        <w:t>¿Cuánto tarda la liquidación y en qué cuenta se deposita?</w:t>
      </w:r>
    </w:p>
    <w:p>
      <w:pPr>
        <w:pStyle w:val="ListBullet"/>
        <w:spacing w:before="0" w:after="160" w:line="280" w:lineRule="auto"/>
        <w:ind w:left="720" w:hanging="360"/>
      </w:pPr>
      <w:r>
        <w:t>¿Cómo se manejan pagos por monto incorrecto, pagos vencidos y reembolsos?</w:t>
      </w:r>
    </w:p>
    <w:p>
      <w:pPr>
        <w:pStyle w:val="ListBullet"/>
        <w:spacing w:before="0" w:after="160" w:line="280" w:lineRule="auto"/>
        <w:ind w:left="720" w:hanging="360"/>
      </w:pPr>
      <w:r>
        <w:t>¿Qué requisitos fiscales, bancarios y de volumen piden para México?</w:t>
      </w:r>
    </w:p>
    <w:p>
      <w:pPr>
        <w:pStyle w:val="Heading1"/>
      </w:pPr>
      <w:r>
        <w:t>Decisión sugerida</w:t>
      </w:r>
    </w:p>
    <w:p>
      <w:r>
        <w:t>Si los tickets son bajos o medios y el proveedor ofrece buen flujo push/link, CoDi puede ser una opción muy atractiva. Si necesitás compatibilidad amplia, tickets más altos y conciliación fuerte, SPEI con CLABE única parece la primera opción a priorizar. La estrategia más sana es mantener tarjeta/Mercado Pago como alternativa de conversión y ofrecer transferencia bancaria como opción recomendada o con precio preferencial.</w:t>
      </w:r>
    </w:p>
    <w:p>
      <w:pPr>
        <w:pStyle w:val="Heading1"/>
      </w:pPr>
      <w:r>
        <w:t>Fuentes para revisar</w:t>
      </w:r>
    </w:p>
    <w:p>
      <w:pPr>
        <w:pStyle w:val="ListBullet"/>
        <w:ind w:left="720" w:hanging="360"/>
      </w:pPr>
      <w:hyperlink r:id="rId10">
        <w:r>
          <w:rPr>
            <w:color w:val="0563C1"/>
            <w:u w:val="single"/>
          </w:rPr>
          <w:t>Banxico - CoDi</w:t>
        </w:r>
      </w:hyperlink>
    </w:p>
    <w:p>
      <w:pPr>
        <w:pStyle w:val="ListBullet"/>
        <w:ind w:left="720" w:hanging="360"/>
      </w:pPr>
      <w:hyperlink r:id="rId11">
        <w:r>
          <w:rPr>
            <w:color w:val="0563C1"/>
            <w:u w:val="single"/>
          </w:rPr>
          <w:t>STP - CoDi Cobro Digital</w:t>
        </w:r>
      </w:hyperlink>
    </w:p>
    <w:p>
      <w:pPr>
        <w:pStyle w:val="ListBullet"/>
        <w:ind w:left="720" w:hanging="360"/>
      </w:pPr>
      <w:hyperlink r:id="rId12">
        <w:r>
          <w:rPr>
            <w:color w:val="0563C1"/>
            <w:u w:val="single"/>
          </w:rPr>
          <w:t>Fintoc - Transfers Overview</w:t>
        </w:r>
      </w:hyperlink>
    </w:p>
    <w:p>
      <w:pPr>
        <w:pStyle w:val="ListBullet"/>
        <w:ind w:left="720" w:hanging="360"/>
      </w:pPr>
      <w:hyperlink r:id="rId13">
        <w:r>
          <w:rPr>
            <w:color w:val="0563C1"/>
            <w:u w:val="single"/>
          </w:rPr>
          <w:t>DiMo</w:t>
        </w:r>
      </w:hyperlink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Opciones de pago bajo costo - México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banxico.org.mx/sistemas-de-pago/codi-cobro-digital-banco-me.html" TargetMode="External"/><Relationship Id="rId11" Type="http://schemas.openxmlformats.org/officeDocument/2006/relationships/hyperlink" Target="https://stp.mx/soluciones/codi-cobro-digital/" TargetMode="External"/><Relationship Id="rId12" Type="http://schemas.openxmlformats.org/officeDocument/2006/relationships/hyperlink" Target="https://docs.fintoc.com/docs/transfers-overview" TargetMode="External"/><Relationship Id="rId13" Type="http://schemas.openxmlformats.org/officeDocument/2006/relationships/hyperlink" Target="https://www.dimo.org.m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