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left"/>
      </w:pPr>
      <w:r>
        <w:rPr>
          <w:rFonts w:ascii="Arial" w:hAnsi="Arial" w:eastAsia="Arial"/>
          <w:b/>
          <w:color w:val="000000"/>
          <w:sz w:val="48"/>
        </w:rPr>
        <w:t>Prüfdokument: Formeln im GmbH-EV Vergleich</w:t>
      </w:r>
    </w:p>
    <w:p>
      <w:pPr>
        <w:spacing w:before="0" w:after="280" w:line="276" w:lineRule="auto"/>
      </w:pPr>
      <w:r>
        <w:rPr>
          <w:rFonts w:ascii="Arial" w:hAnsi="Arial" w:eastAsia="Arial"/>
          <w:i/>
          <w:color w:val="555555"/>
          <w:sz w:val="22"/>
        </w:rPr>
        <w:t>Stand: 12.05.2026  |  Zweck: fachliche Vorabprüfung durch den Steuerberater</w:t>
      </w:r>
    </w:p>
    <w:p>
      <w:pPr>
        <w:spacing w:before="0" w:after="240" w:line="276" w:lineRule="auto"/>
      </w:pPr>
      <w:r>
        <w:rPr>
          <w:rFonts w:ascii="Arial" w:hAnsi="Arial" w:eastAsia="Arial"/>
          <w:color w:val="000000"/>
          <w:sz w:val="22"/>
        </w:rPr>
        <w:t>Hinweis: Dieses Dokument beschreibt die aktuell im Web-Tool implementierten Rechenregeln. Es ersetzt keine steuerliche Beratung, sondern dient als strukturierte Prüfgrundlage für die Formeln.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1. Eingaben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Das Tool vergleicht mehrere Szenarien für eine GmbH in Berlin.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Jahresgewinn vor Fahrzeugkosten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Körperschaftsteuer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Solidaritätszuschlag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GewSt-Messzahl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Berliner Hebesatz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GewSt-Hinzurechnungsfreibetrag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Sonstige GewSt-Hinzurechnungen pro Jahr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USt-Satz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USt-Modus für Gebrauchtwagen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AfA-Dauer</w:t>
      </w:r>
    </w:p>
    <w:p>
      <w:pPr>
        <w:spacing w:before="120" w:after="80" w:line="276" w:lineRule="auto"/>
      </w:pPr>
      <w:r>
        <w:rPr>
          <w:rFonts w:ascii="Arial" w:hAnsi="Arial" w:eastAsia="Arial"/>
          <w:b/>
          <w:color w:val="000000"/>
          <w:sz w:val="22"/>
        </w:rPr>
        <w:t>Szenario-Parameter: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Fahrzeugname und Zustand new / used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Bruttolistenpreis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Kaufpreis brutto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Erstzulassung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Monat des Nutzungsbeginns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Private-use-Methode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Privatnutzungssatz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Arbeitsweg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Laufende Kosten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Leasingdaten oder Ballonkreditdaten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2. Steuerlogik</w:t>
      </w:r>
    </w:p>
    <w:p>
      <w:pPr>
        <w:spacing w:before="280" w:after="120" w:line="276" w:lineRule="auto"/>
      </w:pPr>
      <w:r>
        <w:rPr>
          <w:rFonts w:ascii="Arial" w:hAnsi="Arial" w:eastAsia="Arial"/>
          <w:b/>
          <w:color w:val="000000"/>
          <w:sz w:val="28"/>
        </w:rPr>
        <w:t>2.1 USt / Vorsteuer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Brutto- und Nettowerte werden mit dem hinterlegten USt-Satz getrennt: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net = gross / (1 + vatRate)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vat = gross - net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Wenn bei einem Gebrauchtwagen usedVatMode = none gesetzt ist, wird kein Vorsteuerabzug angesetzt und der Bruttobetrag bleibt Kostenbasis.</w:t>
      </w:r>
    </w:p>
    <w:p>
      <w:pPr>
        <w:spacing w:before="280" w:after="120" w:line="276" w:lineRule="auto"/>
      </w:pPr>
      <w:r>
        <w:rPr>
          <w:rFonts w:ascii="Arial" w:hAnsi="Arial" w:eastAsia="Arial"/>
          <w:b/>
          <w:color w:val="000000"/>
          <w:sz w:val="28"/>
        </w:rPr>
        <w:t>2.2 GewSt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Die GewSt wird mit Berliner Hebesatz berechnet. Der aktuelle Code rundet den Gewerbeertrag vorher auf volle 100 EUR ab: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roundedGewerbeertrag = floor(max(0, taxableProfit) / 100) * 100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GewSt = roundedGewerbeertrag * 3.5% * (Hebesatz / 100)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Für die Hinzurechnung wird ein allgemeiner jährlicher Betrag außerhalb des Fahrzeugs berücksichtigt. Der relevante Freibetrag beträgt 200.000 EUR.</w:t>
      </w:r>
    </w:p>
    <w:p>
      <w:pPr>
        <w:spacing w:before="280" w:after="120" w:line="276" w:lineRule="auto"/>
      </w:pPr>
      <w:r>
        <w:rPr>
          <w:rFonts w:ascii="Arial" w:hAnsi="Arial" w:eastAsia="Arial"/>
          <w:b/>
          <w:color w:val="000000"/>
          <w:sz w:val="28"/>
        </w:rPr>
        <w:t>2.3 KSt / Soli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Die Steuerersparnis wird als marginale Differenz zwischen Gewinn vor Fahrzeugkosten und Gewinn nach Fahrzeugkosten gerechnet.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KSt-Saving = KSt(base profit) - KSt(after car)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Soli-Saving = KSt-Saving * 5.5%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GewSt-Saving = GewSt(base profit) - GewSt(after car)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Total tax saving = KSt-Saving + Soli-Saving + GewSt-Saving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3. Private Use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Die private Nutzung wird separat als geldwerter Vorteil ausgewiesen und nicht als Betriebsausgabe der GmbH behandelt.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Auto-BEV-Regel: bis 100.000 EUR Bruttolistenpreis - 0,25% pro Monat; darüber - 0,5% pro Monat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Manueller Modus: frei einstellbarer monatlicher Prozentsatz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Jährlicher Vorteil: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privateUseBenefitAnnual = BLP * privateUseRate * 12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Zusätzlich kann ein Arbeitsweg-Baustein aktiviert werden. Im aktuellen Code wird er so gerechnet: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commuteBenefitAnnual = BLP * privateUseRate * 0.03 * distanceKm * commuteMonths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4. Laufende Fahrzeugkosten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Aktuell separat erfasste Kosten: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Versicherung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Laden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Wartung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Reifen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Jedes dieser Felder kann per Schalter aktiviert oder deaktiviert werden. Wenn deaktiviert, fließt es nicht in die Berechnung ein.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Für kostenpflichtige Positionen mit abziehbarer USt wird Vorsteuer berücksichtigt. Versicherung wird derzeit ohne Vorsteuer behandelt.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5. Szenario: Gewerbeleasing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Rechenlogik: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monatliche Leasingrate brutto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Sonderzahlung brutto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Gebühren brutto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laufende Kosten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Jahres-Cashflow: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grossCashOut = monatlicheRateBrutto * Monate + SonderzahlungBrutto + GebührenBrutto + laufendeKostenBrutto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vorsteuer = Vorsteuer aus Leasing + Sonderzahlung + Gebühren + laufendeKosten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netCashOut = grossCashOut - vorsteuer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Abziehbare Kosten: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deductibleExpense = monatlicheRateNetto * Monate + SonderzahlungNetto + laufendeKostenNetto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GewSt-Hinzurechnung beim Leasing: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gewstAddbackBase = leasePaymentNet * 10%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gewstAddback = Anwendung des allgemeinen GewSt-Freibetrags und 25% Hinzurechnung auf den übersteigenden Anteil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Der nach Steuern ausgewiesene Jahreswert: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afterTaxCost = grossCashOut - vorsteuer - totalTaxSaving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6. Szenario: Ballonkredit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Rechenlogik: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Anzahlung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Laufzeit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Sollzinssatz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Schlussrate / Ballon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Kaufnebenkosten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Der Kreditplan wird als Annuität mit Schlussrate berechnet. Pro Monat werden Zins und Tilgung getrennt.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Finanzierte Summe: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financedPrincipal = purchasePriceGross - downPaymentGross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AfA-Basis: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afaBasis = purchaseNet + acquisitionCostsNet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AfA: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neues Auto: 6 Jahre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gebrauchtes Auto: globale AfA-Dauer aus den Tax Settings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Jährliche AfA: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annualAfa = afaBasis / afaYears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Berechnung je Jahr: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grossCashOut = Kreditrate + Schlussrate + Anzahlung + Kaufnebenkosten + laufendeKostenBrutto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vorsteuer = Vorsteuer aus Kauf + Nebenkosten + laufendeKosten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deductibleExpense = interest + afa + laufendeKostenNetto</w:t>
      </w:r>
    </w:p>
    <w:p>
      <w:pPr>
        <w:spacing w:before="120" w:after="80" w:line="276" w:lineRule="auto"/>
      </w:pPr>
      <w:r>
        <w:rPr>
          <w:rFonts w:ascii="Arial" w:hAnsi="Arial" w:eastAsia="Arial"/>
          <w:color w:val="000000"/>
          <w:sz w:val="22"/>
        </w:rPr>
        <w:t>GewSt-Hinzurechnung beim Kredit:</w:t>
      </w:r>
    </w:p>
    <w:p>
      <w:pPr>
        <w:spacing w:before="0" w:after="80" w:line="264" w:lineRule="auto"/>
        <w:ind w:left="360"/>
      </w:pPr>
      <w:r>
        <w:rPr>
          <w:rFonts w:ascii="Courier New" w:hAnsi="Courier New" w:eastAsia="Courier New"/>
          <w:color w:val="000000"/>
          <w:sz w:val="20"/>
        </w:rPr>
        <w:t>gewstAddbackBase = interest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Der AfA-Zeitraum läuft auch nach Laufzeitende des Kredits weiter. Deshalb kann die Jahreszeile in späteren Jahren negativ werden, wenn der steuerliche Effekt größer ist als der laufende Cashflow.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7. Monats- und Jahresauswertung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Das Tool zeigt: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Jahreswerte je Szenario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Totals je Szenario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After-tax equivalent pro Monat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Gesamt-Cashflow brutto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Vorsteuer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Netto-Cashflow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abzugsfähige Kosten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GewSt-Hinzurechnung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Steuerersparnis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geldwerten Vorteil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Nach dem Kreditende bleibt in der Vergleichstabelle die AfA aktiv, bis der Abschreibungszeitraum ausgelaufen ist. Das ist gewollt.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8. Punkte zur fachlichen Prüfung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Bitte insbesondere diese Stellen prüfen: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private-use BEV-Regel 0,25% / 0,5%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Arbeitsweg-Baustein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Behandlung von Gebrauchtwagen ohne abziehbare USt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AfA-Basis bei Kaufnebenkosten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GewSt-Hinzurechnung für Leasing und Zinsen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Rounding auf volle 100 EUR bei der GewSt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Behandlung von Jahren nach Kreditende, wenn AfA noch läuft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color w:val="000000"/>
          <w:sz w:val="32"/>
        </w:rPr>
        <w:t>9. Kurzfassung</w:t>
      </w:r>
    </w:p>
    <w:p>
      <w:pPr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Das Tool berechnet: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USt / Vorsteuer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KSt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Soli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GewSt Berlin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Leasing-Szenarien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Ballonkredit-Szenarien für neue und gebrauchte E-Autos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private Nutzung als geldwerter Vorteil</w:t>
      </w:r>
    </w:p>
    <w:p>
      <w:pPr>
        <w:pStyle w:val="ListBullet"/>
        <w:spacing w:before="0" w:after="160" w:line="276" w:lineRule="auto"/>
      </w:pPr>
      <w:r>
        <w:rPr>
          <w:rFonts w:ascii="Arial" w:hAnsi="Arial" w:eastAsia="Arial"/>
          <w:color w:val="000000"/>
          <w:sz w:val="22"/>
        </w:rPr>
        <w:t>Jahres- und Gesamtkosten nach Steuern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