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4.png" ContentType="image/png"/>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SIGED</w:t>
      </w:r>
      <w:r>
        <w:t xml:space="preserve"> </w:t>
      </w:r>
      <w:r>
        <w:t xml:space="preserve">—</w:t>
      </w:r>
      <w:r>
        <w:t xml:space="preserve"> </w:t>
      </w:r>
      <w:r>
        <w:t xml:space="preserve">Cahier</w:t>
      </w:r>
      <w:r>
        <w:t xml:space="preserve"> </w:t>
      </w:r>
      <w:r>
        <w:t xml:space="preserve">d’architecture</w:t>
      </w:r>
      <w:r>
        <w:t xml:space="preserve"> </w:t>
      </w:r>
      <w:r>
        <w:t xml:space="preserve">technique</w:t>
      </w:r>
    </w:p>
    <w:p>
      <w:pPr>
        <w:pStyle w:val="Subtitle"/>
      </w:pPr>
      <w:r>
        <w:t xml:space="preserve">Système</w:t>
      </w:r>
      <w:r>
        <w:t xml:space="preserve"> </w:t>
      </w:r>
      <w:r>
        <w:t xml:space="preserve">Intégré</w:t>
      </w:r>
      <w:r>
        <w:t xml:space="preserve"> </w:t>
      </w:r>
      <w:r>
        <w:t xml:space="preserve">de</w:t>
      </w:r>
      <w:r>
        <w:t xml:space="preserve"> </w:t>
      </w:r>
      <w:r>
        <w:t xml:space="preserve">Gestion</w:t>
      </w:r>
      <w:r>
        <w:t xml:space="preserve"> </w:t>
      </w:r>
      <w:r>
        <w:t xml:space="preserve">Électronique</w:t>
      </w:r>
      <w:r>
        <w:t xml:space="preserve"> </w:t>
      </w:r>
      <w:r>
        <w:t xml:space="preserve">des</w:t>
      </w:r>
      <w:r>
        <w:t xml:space="preserve"> </w:t>
      </w:r>
      <w:r>
        <w:t xml:space="preserve">Documents</w:t>
      </w:r>
      <w:r>
        <w:t xml:space="preserve"> </w:t>
      </w:r>
      <w:r>
        <w:t xml:space="preserve">et</w:t>
      </w:r>
      <w:r>
        <w:t xml:space="preserve"> </w:t>
      </w:r>
      <w:r>
        <w:t xml:space="preserve">d’archivage</w:t>
      </w:r>
    </w:p>
    <w:p>
      <w:pPr>
        <w:pStyle w:val="Author"/>
      </w:pPr>
      <w:r>
        <w:t xml:space="preserve">Kombila</w:t>
      </w:r>
      <w:r>
        <w:t xml:space="preserve"> </w:t>
      </w:r>
      <w:r>
        <w:t xml:space="preserve">N’Sougan</w:t>
      </w:r>
      <w:r>
        <w:t xml:space="preserve"> </w:t>
      </w:r>
      <w:r>
        <w:t xml:space="preserve">Edere</w:t>
      </w:r>
      <w:r>
        <w:t xml:space="preserve"> </w:t>
      </w:r>
      <w:r>
        <w:t xml:space="preserve">Levy</w:t>
      </w:r>
      <w:r>
        <w:t xml:space="preserve"> </w:t>
      </w:r>
      <w:r>
        <w:t xml:space="preserve">—</w:t>
      </w:r>
      <w:r>
        <w:t xml:space="preserve"> </w:t>
      </w:r>
      <w:r>
        <w:t xml:space="preserve">Cycle</w:t>
      </w:r>
      <w:r>
        <w:t xml:space="preserve"> </w:t>
      </w:r>
      <w:r>
        <w:t xml:space="preserve">ingénieur</w:t>
      </w:r>
      <w:r>
        <w:t xml:space="preserve"> </w:t>
      </w:r>
      <w:r>
        <w:t xml:space="preserve">SI,</w:t>
      </w:r>
      <w:r>
        <w:t xml:space="preserve"> </w:t>
      </w:r>
      <w:r>
        <w:t xml:space="preserve">IAI</w:t>
      </w:r>
      <w:r>
        <w:t xml:space="preserve"> </w:t>
      </w:r>
      <w:r>
        <w:t xml:space="preserve">Gabon</w:t>
      </w:r>
    </w:p>
    <w:p>
      <w:pPr>
        <w:pStyle w:val="Date"/>
      </w:pPr>
      <w:r>
        <w:t xml:space="preserve">Version</w:t>
      </w:r>
      <w:r>
        <w:t xml:space="preserve"> </w:t>
      </w:r>
      <w:r>
        <w:t xml:space="preserve">1.0</w:t>
      </w:r>
      <w:r>
        <w:t xml:space="preserve"> </w:t>
      </w:r>
      <w:r>
        <w:t xml:space="preserve">—</w:t>
      </w:r>
      <w:r>
        <w:t xml:space="preserve"> </w:t>
      </w:r>
      <w:r>
        <w:t xml:space="preserve">octobre</w:t>
      </w:r>
      <w:r>
        <w:t xml:space="preserve"> </w:t>
      </w:r>
      <w:r>
        <w:t xml:space="preserve">2026</w:t>
      </w:r>
    </w:p>
    <w:sdt>
      <w:sdtPr>
        <w:docPartObj>
          <w:docPartGallery w:val="Table of Contents"/>
          <w:docPartUnique/>
        </w:docPartObj>
      </w:sdtPr>
      <w:sdtContent>
        <w:p>
          <w:pPr>
            <w:pStyle w:val="TOCHeading"/>
          </w:pPr>
          <w:r>
            <w:t xml:space="preserve">Sommaire</w:t>
          </w:r>
        </w:p>
        <w:p>
          <w:r>
            <w:fldChar w:fldCharType="begin" w:dirty="true"/>
            <w:instrText xml:space="preserve">TOC \o "1-2" \h \z \u</w:instrText>
            <w:fldChar w:fldCharType="separate"/>
            <w:fldChar w:fldCharType="end"/>
          </w:r>
        </w:p>
      </w:sdtContent>
    </w:sdt>
    <w:bookmarkStart w:id="20" w:name="objet-du-document"/>
    <w:p>
      <w:pPr>
        <w:pStyle w:val="Heading1"/>
      </w:pPr>
      <w:r>
        <w:t xml:space="preserve">1. Objet du document</w:t>
      </w:r>
    </w:p>
    <w:p>
      <w:pPr>
        <w:pStyle w:val="FirstParagraph"/>
      </w:pPr>
      <w:r>
        <w:t xml:space="preserve">Ce cahier décrit l’architecture logicielle, technique et de sécurité de</w:t>
      </w:r>
      <w:r>
        <w:t xml:space="preserve"> </w:t>
      </w:r>
      <w:r>
        <w:rPr>
          <w:bCs/>
          <w:b/>
        </w:rPr>
        <w:t xml:space="preserve">SIGED</w:t>
      </w:r>
      <w:r>
        <w:t xml:space="preserve">, la plateforme de gestion électronique des documents (GED) et de système d’archivage électronique (SAE) réalisée en réponse au cahier des charges. Il justifie les choix techniques, présente les vues logique, physique et données, et montre comment chaque exigence est satisfaite.</w:t>
      </w:r>
    </w:p>
    <w:p>
      <w:pPr>
        <w:pStyle w:val="BodyText"/>
      </w:pPr>
      <w:r>
        <w:rPr>
          <w:bCs/>
          <w:b/>
        </w:rPr>
        <w:t xml:space="preserve">Public visé</w:t>
      </w:r>
      <w:r>
        <w:t xml:space="preserve"> </w:t>
      </w:r>
      <w:r>
        <w:t xml:space="preserve">: jury, maîtrise d’ouvrage, équipe de développement, exploitants.</w:t>
      </w:r>
    </w:p>
    <w:p>
      <w:pPr>
        <w:pStyle w:val="BodyText"/>
      </w:pPr>
      <w:r>
        <w:rPr>
          <w:bCs/>
          <w:b/>
        </w:rPr>
        <w:t xml:space="preserve">Documents associés</w:t>
      </w:r>
      <w:r>
        <w:t xml:space="preserve"> </w:t>
      </w:r>
      <w:r>
        <w:t xml:space="preserve">: rapports de sprint (</w:t>
      </w:r>
      <w:r>
        <w:rPr>
          <w:rStyle w:val="VerbatimChar"/>
        </w:rPr>
        <w:t xml:space="preserve">docs/rapports/</w:t>
      </w:r>
      <w:r>
        <w:t xml:space="preserve">), contrat d’API OpenAPI (</w:t>
      </w:r>
      <w:r>
        <w:rPr>
          <w:rStyle w:val="VerbatimChar"/>
        </w:rPr>
        <w:t xml:space="preserve">docs/openapi.json</w:t>
      </w:r>
      <w:r>
        <w:t xml:space="preserve">, consultable en ligne sur</w:t>
      </w:r>
      <w:r>
        <w:t xml:space="preserve"> </w:t>
      </w:r>
      <w:r>
        <w:rPr>
          <w:rStyle w:val="VerbatimChar"/>
        </w:rPr>
        <w:t xml:space="preserve">/docs</w:t>
      </w:r>
      <w:r>
        <w:t xml:space="preserve">), guide d’installation (</w:t>
      </w:r>
      <w:r>
        <w:rPr>
          <w:rStyle w:val="VerbatimChar"/>
        </w:rPr>
        <w:t xml:space="preserve">README.md</w:t>
      </w:r>
      <w:r>
        <w:t xml:space="preserve">).</w:t>
      </w:r>
    </w:p>
    <w:bookmarkEnd w:id="20"/>
    <w:bookmarkStart w:id="21" w:name="rappel-des-exigences"/>
    <w:p>
      <w:pPr>
        <w:pStyle w:val="Heading1"/>
      </w:pPr>
      <w:r>
        <w:t xml:space="preserve">2. Rappel des exigences</w:t>
      </w:r>
    </w:p>
    <w:tbl>
      <w:tblPr>
        <w:tblStyle w:val="Table"/>
        <w:tblW w:type="pct" w:w="5000"/>
        <w:tblLook w:firstRow="1" w:lastRow="0" w:firstColumn="0" w:lastColumn="0" w:noHBand="0" w:noVBand="0" w:val="0020"/>
        <w:jc w:val="start"/>
      </w:tblPr>
      <w:tblGrid>
        <w:gridCol w:w="1377"/>
        <w:gridCol w:w="1377"/>
        <w:gridCol w:w="5165"/>
      </w:tblGrid>
      <w:tr>
        <w:trPr>
          <w:tblHeader w:val="true"/>
        </w:trPr>
        <w:tc>
          <w:tcPr/>
          <w:p>
            <w:pPr>
              <w:pStyle w:val="Compact"/>
              <w:jc w:val="left"/>
            </w:pPr>
            <w:r>
              <w:t xml:space="preserve">Réf.</w:t>
            </w:r>
          </w:p>
        </w:tc>
        <w:tc>
          <w:tcPr/>
          <w:p>
            <w:pPr>
              <w:pStyle w:val="Compact"/>
              <w:jc w:val="left"/>
            </w:pPr>
            <w:r>
              <w:t xml:space="preserve">Domaine</w:t>
            </w:r>
          </w:p>
        </w:tc>
        <w:tc>
          <w:tcPr/>
          <w:p>
            <w:pPr>
              <w:pStyle w:val="Compact"/>
              <w:jc w:val="left"/>
            </w:pPr>
            <w:r>
              <w:t xml:space="preserve">Exigence</w:t>
            </w:r>
          </w:p>
        </w:tc>
      </w:tr>
      <w:tr>
        <w:tc>
          <w:tcPr/>
          <w:p>
            <w:pPr>
              <w:pStyle w:val="Compact"/>
              <w:jc w:val="left"/>
            </w:pPr>
            <w:r>
              <w:t xml:space="preserve">EX-01</w:t>
            </w:r>
          </w:p>
        </w:tc>
        <w:tc>
          <w:tcPr/>
          <w:p>
            <w:pPr>
              <w:pStyle w:val="Compact"/>
              <w:jc w:val="left"/>
            </w:pPr>
            <w:r>
              <w:t xml:space="preserve">Objectifs</w:t>
            </w:r>
          </w:p>
        </w:tc>
        <w:tc>
          <w:tcPr/>
          <w:p>
            <w:pPr>
              <w:pStyle w:val="Compact"/>
              <w:jc w:val="left"/>
            </w:pPr>
            <w:r>
              <w:t xml:space="preserve">Centralisation dans un système unique, sans dispersion ni doublons</w:t>
            </w:r>
          </w:p>
        </w:tc>
      </w:tr>
      <w:tr>
        <w:tc>
          <w:tcPr/>
          <w:p>
            <w:pPr>
              <w:pStyle w:val="Compact"/>
              <w:jc w:val="left"/>
            </w:pPr>
            <w:r>
              <w:t xml:space="preserve">EX-02</w:t>
            </w:r>
          </w:p>
        </w:tc>
        <w:tc>
          <w:tcPr/>
          <w:p>
            <w:pPr>
              <w:pStyle w:val="Compact"/>
              <w:jc w:val="left"/>
            </w:pPr>
            <w:r>
              <w:t xml:space="preserve">Objectifs</w:t>
            </w:r>
          </w:p>
        </w:tc>
        <w:tc>
          <w:tcPr/>
          <w:p>
            <w:pPr>
              <w:pStyle w:val="Compact"/>
              <w:jc w:val="left"/>
            </w:pPr>
            <w:r>
              <w:t xml:space="preserve">Recherche optimisée par métadonnées structurées</w:t>
            </w:r>
          </w:p>
        </w:tc>
      </w:tr>
      <w:tr>
        <w:tc>
          <w:tcPr/>
          <w:p>
            <w:pPr>
              <w:pStyle w:val="Compact"/>
              <w:jc w:val="left"/>
            </w:pPr>
            <w:r>
              <w:t xml:space="preserve">EX-03</w:t>
            </w:r>
          </w:p>
        </w:tc>
        <w:tc>
          <w:tcPr/>
          <w:p>
            <w:pPr>
              <w:pStyle w:val="Compact"/>
              <w:jc w:val="left"/>
            </w:pPr>
            <w:r>
              <w:t xml:space="preserve">Objectifs</w:t>
            </w:r>
          </w:p>
        </w:tc>
        <w:tc>
          <w:tcPr/>
          <w:p>
            <w:pPr>
              <w:pStyle w:val="Compact"/>
              <w:jc w:val="left"/>
            </w:pPr>
            <w:r>
              <w:t xml:space="preserve">Sécurité et traçabilité du cycle de vie</w:t>
            </w:r>
          </w:p>
        </w:tc>
      </w:tr>
      <w:tr>
        <w:tc>
          <w:tcPr/>
          <w:p>
            <w:pPr>
              <w:pStyle w:val="Compact"/>
              <w:jc w:val="left"/>
            </w:pPr>
            <w:r>
              <w:t xml:space="preserve">EX-04</w:t>
            </w:r>
          </w:p>
        </w:tc>
        <w:tc>
          <w:tcPr/>
          <w:p>
            <w:pPr>
              <w:pStyle w:val="Compact"/>
              <w:jc w:val="left"/>
            </w:pPr>
            <w:r>
              <w:t xml:space="preserve">Objectifs</w:t>
            </w:r>
          </w:p>
        </w:tc>
        <w:tc>
          <w:tcPr/>
          <w:p>
            <w:pPr>
              <w:pStyle w:val="Compact"/>
              <w:jc w:val="left"/>
            </w:pPr>
            <w:r>
              <w:t xml:space="preserve">Interopérabilité avec ERP, SIRH, messagerie</w:t>
            </w:r>
          </w:p>
        </w:tc>
      </w:tr>
      <w:tr>
        <w:tc>
          <w:tcPr/>
          <w:p>
            <w:pPr>
              <w:pStyle w:val="Compact"/>
              <w:jc w:val="left"/>
            </w:pPr>
            <w:r>
              <w:t xml:space="preserve">EX-05</w:t>
            </w:r>
          </w:p>
        </w:tc>
        <w:tc>
          <w:tcPr/>
          <w:p>
            <w:pPr>
              <w:pStyle w:val="Compact"/>
              <w:jc w:val="left"/>
            </w:pPr>
            <w:r>
              <w:t xml:space="preserve">Acquisition</w:t>
            </w:r>
          </w:p>
        </w:tc>
        <w:tc>
          <w:tcPr/>
          <w:p>
            <w:pPr>
              <w:pStyle w:val="Compact"/>
              <w:jc w:val="left"/>
            </w:pPr>
            <w:r>
              <w:t xml:space="preserve">Téléversement manuel, import par lot, capture automatique (API / dossiers partagés)</w:t>
            </w:r>
          </w:p>
        </w:tc>
      </w:tr>
      <w:tr>
        <w:tc>
          <w:tcPr/>
          <w:p>
            <w:pPr>
              <w:pStyle w:val="Compact"/>
              <w:jc w:val="left"/>
            </w:pPr>
            <w:r>
              <w:t xml:space="preserve">EX-06</w:t>
            </w:r>
          </w:p>
        </w:tc>
        <w:tc>
          <w:tcPr/>
          <w:p>
            <w:pPr>
              <w:pStyle w:val="Compact"/>
              <w:jc w:val="left"/>
            </w:pPr>
            <w:r>
              <w:t xml:space="preserve">Acquisition</w:t>
            </w:r>
          </w:p>
        </w:tc>
        <w:tc>
          <w:tcPr/>
          <w:p>
            <w:pPr>
              <w:pStyle w:val="Compact"/>
              <w:jc w:val="left"/>
            </w:pPr>
            <w:r>
              <w:t xml:space="preserve">Conversion au format pérenne PDF/A + OCR</w:t>
            </w:r>
          </w:p>
        </w:tc>
      </w:tr>
      <w:tr>
        <w:tc>
          <w:tcPr/>
          <w:p>
            <w:pPr>
              <w:pStyle w:val="Compact"/>
              <w:jc w:val="left"/>
            </w:pPr>
            <w:r>
              <w:t xml:space="preserve">EX-07</w:t>
            </w:r>
          </w:p>
        </w:tc>
        <w:tc>
          <w:tcPr/>
          <w:p>
            <w:pPr>
              <w:pStyle w:val="Compact"/>
              <w:jc w:val="left"/>
            </w:pPr>
            <w:r>
              <w:t xml:space="preserve">Acquisition</w:t>
            </w:r>
          </w:p>
        </w:tc>
        <w:tc>
          <w:tcPr/>
          <w:p>
            <w:pPr>
              <w:pStyle w:val="Compact"/>
              <w:jc w:val="left"/>
            </w:pPr>
            <w:r>
              <w:t xml:space="preserve">Fiche de métadonnées obligatoire (titre, auteur, date, type, mots-clés, DUA)</w:t>
            </w:r>
          </w:p>
        </w:tc>
      </w:tr>
      <w:tr>
        <w:tc>
          <w:tcPr/>
          <w:p>
            <w:pPr>
              <w:pStyle w:val="Compact"/>
              <w:jc w:val="left"/>
            </w:pPr>
            <w:r>
              <w:t xml:space="preserve">EX-08</w:t>
            </w:r>
          </w:p>
        </w:tc>
        <w:tc>
          <w:tcPr/>
          <w:p>
            <w:pPr>
              <w:pStyle w:val="Compact"/>
              <w:jc w:val="left"/>
            </w:pPr>
            <w:r>
              <w:t xml:space="preserve">Acquisition</w:t>
            </w:r>
          </w:p>
        </w:tc>
        <w:tc>
          <w:tcPr/>
          <w:p>
            <w:pPr>
              <w:pStyle w:val="Compact"/>
              <w:jc w:val="left"/>
            </w:pPr>
            <w:r>
              <w:t xml:space="preserve">Plan de classement normé, classement automatique ou manuel</w:t>
            </w:r>
          </w:p>
        </w:tc>
      </w:tr>
      <w:tr>
        <w:tc>
          <w:tcPr/>
          <w:p>
            <w:pPr>
              <w:pStyle w:val="Compact"/>
              <w:jc w:val="left"/>
            </w:pPr>
            <w:r>
              <w:t xml:space="preserve">EX-09</w:t>
            </w:r>
          </w:p>
        </w:tc>
        <w:tc>
          <w:tcPr/>
          <w:p>
            <w:pPr>
              <w:pStyle w:val="Compact"/>
              <w:jc w:val="left"/>
            </w:pPr>
            <w:r>
              <w:t xml:space="preserve">Métier</w:t>
            </w:r>
          </w:p>
        </w:tc>
        <w:tc>
          <w:tcPr/>
          <w:p>
            <w:pPr>
              <w:pStyle w:val="Compact"/>
              <w:jc w:val="left"/>
            </w:pPr>
            <w:r>
              <w:t xml:space="preserve">Recherche multicritère + plein texte</w:t>
            </w:r>
          </w:p>
        </w:tc>
      </w:tr>
      <w:tr>
        <w:tc>
          <w:tcPr/>
          <w:p>
            <w:pPr>
              <w:pStyle w:val="Compact"/>
              <w:jc w:val="left"/>
            </w:pPr>
            <w:r>
              <w:t xml:space="preserve">EX-10</w:t>
            </w:r>
          </w:p>
        </w:tc>
        <w:tc>
          <w:tcPr/>
          <w:p>
            <w:pPr>
              <w:pStyle w:val="Compact"/>
              <w:jc w:val="left"/>
            </w:pPr>
            <w:r>
              <w:t xml:space="preserve">Métier</w:t>
            </w:r>
          </w:p>
        </w:tc>
        <w:tc>
          <w:tcPr/>
          <w:p>
            <w:pPr>
              <w:pStyle w:val="Compact"/>
              <w:jc w:val="left"/>
            </w:pPr>
            <w:r>
              <w:t xml:space="preserve">Prévisualisation sans téléchargement</w:t>
            </w:r>
          </w:p>
        </w:tc>
      </w:tr>
      <w:tr>
        <w:tc>
          <w:tcPr/>
          <w:p>
            <w:pPr>
              <w:pStyle w:val="Compact"/>
              <w:jc w:val="left"/>
            </w:pPr>
            <w:r>
              <w:t xml:space="preserve">EX-11</w:t>
            </w:r>
          </w:p>
        </w:tc>
        <w:tc>
          <w:tcPr/>
          <w:p>
            <w:pPr>
              <w:pStyle w:val="Compact"/>
              <w:jc w:val="left"/>
            </w:pPr>
            <w:r>
              <w:t xml:space="preserve">Métier</w:t>
            </w:r>
          </w:p>
        </w:tc>
        <w:tc>
          <w:tcPr/>
          <w:p>
            <w:pPr>
              <w:pStyle w:val="Compact"/>
              <w:jc w:val="left"/>
            </w:pPr>
            <w:r>
              <w:t xml:space="preserve">Gestion des versions (v1.0, v1.1…) sans écraser l’historique</w:t>
            </w:r>
          </w:p>
        </w:tc>
      </w:tr>
      <w:tr>
        <w:tc>
          <w:tcPr/>
          <w:p>
            <w:pPr>
              <w:pStyle w:val="Compact"/>
              <w:jc w:val="left"/>
            </w:pPr>
            <w:r>
              <w:t xml:space="preserve">EX-12</w:t>
            </w:r>
          </w:p>
        </w:tc>
        <w:tc>
          <w:tcPr/>
          <w:p>
            <w:pPr>
              <w:pStyle w:val="Compact"/>
              <w:jc w:val="left"/>
            </w:pPr>
            <w:r>
              <w:t xml:space="preserve">Métier</w:t>
            </w:r>
          </w:p>
        </w:tc>
        <w:tc>
          <w:tcPr/>
          <w:p>
            <w:pPr>
              <w:pStyle w:val="Compact"/>
              <w:jc w:val="left"/>
            </w:pPr>
            <w:r>
              <w:t xml:space="preserve">Circuit de validation (brouillon, en validation, validé)</w:t>
            </w:r>
          </w:p>
        </w:tc>
      </w:tr>
      <w:tr>
        <w:tc>
          <w:tcPr/>
          <w:p>
            <w:pPr>
              <w:pStyle w:val="Compact"/>
              <w:jc w:val="left"/>
            </w:pPr>
            <w:r>
              <w:t xml:space="preserve">EX-13</w:t>
            </w:r>
          </w:p>
        </w:tc>
        <w:tc>
          <w:tcPr/>
          <w:p>
            <w:pPr>
              <w:pStyle w:val="Compact"/>
              <w:jc w:val="left"/>
            </w:pPr>
            <w:r>
              <w:t xml:space="preserve">Architecture</w:t>
            </w:r>
          </w:p>
        </w:tc>
        <w:tc>
          <w:tcPr/>
          <w:p>
            <w:pPr>
              <w:pStyle w:val="Compact"/>
              <w:jc w:val="left"/>
            </w:pPr>
            <w:r>
              <w:t xml:space="preserve">Stockage hybride : métadonnées en base SQL, fichiers en Object Storage</w:t>
            </w:r>
          </w:p>
        </w:tc>
      </w:tr>
      <w:tr>
        <w:tc>
          <w:tcPr/>
          <w:p>
            <w:pPr>
              <w:pStyle w:val="Compact"/>
              <w:jc w:val="left"/>
            </w:pPr>
            <w:r>
              <w:t xml:space="preserve">EX-14</w:t>
            </w:r>
          </w:p>
        </w:tc>
        <w:tc>
          <w:tcPr/>
          <w:p>
            <w:pPr>
              <w:pStyle w:val="Compact"/>
              <w:jc w:val="left"/>
            </w:pPr>
            <w:r>
              <w:t xml:space="preserve">Architecture</w:t>
            </w:r>
          </w:p>
        </w:tc>
        <w:tc>
          <w:tcPr/>
          <w:p>
            <w:pPr>
              <w:pStyle w:val="Compact"/>
              <w:jc w:val="left"/>
            </w:pPr>
            <w:r>
              <w:t xml:space="preserve">Empreinte SHA-256 au dépôt (preuve de non-altération)</w:t>
            </w:r>
          </w:p>
        </w:tc>
      </w:tr>
      <w:tr>
        <w:tc>
          <w:tcPr/>
          <w:p>
            <w:pPr>
              <w:pStyle w:val="Compact"/>
              <w:jc w:val="left"/>
            </w:pPr>
            <w:r>
              <w:t xml:space="preserve">EX-15</w:t>
            </w:r>
          </w:p>
        </w:tc>
        <w:tc>
          <w:tcPr/>
          <w:p>
            <w:pPr>
              <w:pStyle w:val="Compact"/>
              <w:jc w:val="left"/>
            </w:pPr>
            <w:r>
              <w:t xml:space="preserve">Sécurité</w:t>
            </w:r>
          </w:p>
        </w:tc>
        <w:tc>
          <w:tcPr/>
          <w:p>
            <w:pPr>
              <w:pStyle w:val="Compact"/>
              <w:jc w:val="left"/>
            </w:pPr>
            <w:r>
              <w:t xml:space="preserve">RBAC (lecture, écriture, administration)</w:t>
            </w:r>
          </w:p>
        </w:tc>
      </w:tr>
      <w:tr>
        <w:tc>
          <w:tcPr/>
          <w:p>
            <w:pPr>
              <w:pStyle w:val="Compact"/>
              <w:jc w:val="left"/>
            </w:pPr>
            <w:r>
              <w:t xml:space="preserve">EX-16</w:t>
            </w:r>
          </w:p>
        </w:tc>
        <w:tc>
          <w:tcPr/>
          <w:p>
            <w:pPr>
              <w:pStyle w:val="Compact"/>
              <w:jc w:val="left"/>
            </w:pPr>
            <w:r>
              <w:t xml:space="preserve">Sécurité</w:t>
            </w:r>
          </w:p>
        </w:tc>
        <w:tc>
          <w:tcPr/>
          <w:p>
            <w:pPr>
              <w:pStyle w:val="Compact"/>
              <w:jc w:val="left"/>
            </w:pPr>
            <w:r>
              <w:t xml:space="preserve">Chiffrement TLS 1.3 en transit, AES-256 au repos</w:t>
            </w:r>
          </w:p>
        </w:tc>
      </w:tr>
      <w:tr>
        <w:tc>
          <w:tcPr/>
          <w:p>
            <w:pPr>
              <w:pStyle w:val="Compact"/>
              <w:jc w:val="left"/>
            </w:pPr>
            <w:r>
              <w:t xml:space="preserve">EX-17</w:t>
            </w:r>
          </w:p>
        </w:tc>
        <w:tc>
          <w:tcPr/>
          <w:p>
            <w:pPr>
              <w:pStyle w:val="Compact"/>
              <w:jc w:val="left"/>
            </w:pPr>
            <w:r>
              <w:t xml:space="preserve">Normes</w:t>
            </w:r>
          </w:p>
        </w:tc>
        <w:tc>
          <w:tcPr/>
          <w:p>
            <w:pPr>
              <w:pStyle w:val="Compact"/>
              <w:jc w:val="left"/>
            </w:pPr>
            <w:r>
              <w:t xml:space="preserve">Principes ISO 15489 et ISO 14721 (OAIS)</w:t>
            </w:r>
          </w:p>
        </w:tc>
      </w:tr>
      <w:tr>
        <w:tc>
          <w:tcPr/>
          <w:p>
            <w:pPr>
              <w:pStyle w:val="Compact"/>
              <w:jc w:val="left"/>
            </w:pPr>
            <w:r>
              <w:t xml:space="preserve">EX-18</w:t>
            </w:r>
          </w:p>
        </w:tc>
        <w:tc>
          <w:tcPr/>
          <w:p>
            <w:pPr>
              <w:pStyle w:val="Compact"/>
              <w:jc w:val="left"/>
            </w:pPr>
            <w:r>
              <w:t xml:space="preserve">Normes</w:t>
            </w:r>
          </w:p>
        </w:tc>
        <w:tc>
          <w:tcPr/>
          <w:p>
            <w:pPr>
              <w:pStyle w:val="Compact"/>
              <w:jc w:val="left"/>
            </w:pPr>
            <w:r>
              <w:t xml:space="preserve">Gestion automatisée de la DUA et du sort final</w:t>
            </w:r>
          </w:p>
        </w:tc>
      </w:tr>
      <w:tr>
        <w:tc>
          <w:tcPr/>
          <w:p>
            <w:pPr>
              <w:pStyle w:val="Compact"/>
              <w:jc w:val="left"/>
            </w:pPr>
            <w:r>
              <w:t xml:space="preserve">EX-19</w:t>
            </w:r>
          </w:p>
        </w:tc>
        <w:tc>
          <w:tcPr/>
          <w:p>
            <w:pPr>
              <w:pStyle w:val="Compact"/>
              <w:jc w:val="left"/>
            </w:pPr>
            <w:r>
              <w:t xml:space="preserve">Normes</w:t>
            </w:r>
          </w:p>
        </w:tc>
        <w:tc>
          <w:tcPr/>
          <w:p>
            <w:pPr>
              <w:pStyle w:val="Compact"/>
              <w:jc w:val="left"/>
            </w:pPr>
            <w:r>
              <w:t xml:space="preserve">Journal d’audit inaltérable (consultations, modifications, suppressions)</w:t>
            </w:r>
          </w:p>
        </w:tc>
      </w:tr>
      <w:tr>
        <w:tc>
          <w:tcPr/>
          <w:p>
            <w:pPr>
              <w:pStyle w:val="Compact"/>
              <w:jc w:val="left"/>
            </w:pPr>
            <w:r>
              <w:t xml:space="preserve">EX-20</w:t>
            </w:r>
          </w:p>
        </w:tc>
        <w:tc>
          <w:tcPr/>
          <w:p>
            <w:pPr>
              <w:pStyle w:val="Compact"/>
              <w:jc w:val="left"/>
            </w:pPr>
            <w:r>
              <w:t xml:space="preserve">Performance</w:t>
            </w:r>
          </w:p>
        </w:tc>
        <w:tc>
          <w:tcPr/>
          <w:p>
            <w:pPr>
              <w:pStyle w:val="Compact"/>
              <w:jc w:val="left"/>
            </w:pPr>
            <w:r>
              <w:t xml:space="preserve">Réponse &lt; 2 s, disponibilité 99,9 %, sauvegardes quotidiennes</w:t>
            </w:r>
          </w:p>
        </w:tc>
      </w:tr>
    </w:tbl>
    <w:bookmarkEnd w:id="21"/>
    <w:bookmarkStart w:id="24" w:name="choix-techniques-et-justifications"/>
    <w:p>
      <w:pPr>
        <w:pStyle w:val="Heading1"/>
      </w:pPr>
      <w:r>
        <w:t xml:space="preserve">3. Choix techniques et justifications</w:t>
      </w:r>
    </w:p>
    <w:bookmarkStart w:id="22" w:name="pile-retenue"/>
    <w:p>
      <w:pPr>
        <w:pStyle w:val="Heading2"/>
      </w:pPr>
      <w:r>
        <w:t xml:space="preserve">3.1 Pile retenue</w:t>
      </w:r>
    </w:p>
    <w:tbl>
      <w:tblPr>
        <w:tblStyle w:val="Table"/>
        <w:tblW w:type="pct" w:w="5000"/>
        <w:tblLook w:firstRow="1" w:lastRow="0" w:firstColumn="0" w:lastColumn="0" w:noHBand="0" w:noVBand="0" w:val="0020"/>
        <w:jc w:val="start"/>
      </w:tblPr>
      <w:tblGrid>
        <w:gridCol w:w="2105"/>
        <w:gridCol w:w="4511"/>
        <w:gridCol w:w="1303"/>
      </w:tblGrid>
      <w:tr>
        <w:trPr>
          <w:tblHeader w:val="true"/>
        </w:trPr>
        <w:tc>
          <w:tcPr/>
          <w:p>
            <w:pPr>
              <w:pStyle w:val="Compact"/>
              <w:jc w:val="left"/>
            </w:pPr>
            <w:r>
              <w:t xml:space="preserve">Couche</w:t>
            </w:r>
          </w:p>
        </w:tc>
        <w:tc>
          <w:tcPr/>
          <w:p>
            <w:pPr>
              <w:pStyle w:val="Compact"/>
              <w:jc w:val="left"/>
            </w:pPr>
            <w:r>
              <w:t xml:space="preserve">Technologie</w:t>
            </w:r>
          </w:p>
        </w:tc>
        <w:tc>
          <w:tcPr/>
          <w:p>
            <w:pPr>
              <w:pStyle w:val="Compact"/>
              <w:jc w:val="left"/>
            </w:pPr>
            <w:r>
              <w:t xml:space="preserve">Version</w:t>
            </w:r>
          </w:p>
        </w:tc>
      </w:tr>
      <w:tr>
        <w:tc>
          <w:tcPr/>
          <w:p>
            <w:pPr>
              <w:pStyle w:val="Compact"/>
              <w:jc w:val="left"/>
            </w:pPr>
            <w:r>
              <w:t xml:space="preserve">API</w:t>
            </w:r>
          </w:p>
        </w:tc>
        <w:tc>
          <w:tcPr/>
          <w:p>
            <w:pPr>
              <w:pStyle w:val="Compact"/>
              <w:jc w:val="left"/>
            </w:pPr>
            <w:r>
              <w:t xml:space="preserve">Python 3.12 +</w:t>
            </w:r>
            <w:r>
              <w:t xml:space="preserve"> </w:t>
            </w:r>
            <w:r>
              <w:rPr>
                <w:bCs/>
                <w:b/>
              </w:rPr>
              <w:t xml:space="preserve">FastAPI</w:t>
            </w:r>
            <w:r>
              <w:t xml:space="preserve"> </w:t>
            </w:r>
            <w:r>
              <w:t xml:space="preserve">+ Uvicorn</w:t>
            </w:r>
          </w:p>
        </w:tc>
        <w:tc>
          <w:tcPr/>
          <w:p>
            <w:pPr>
              <w:pStyle w:val="Compact"/>
              <w:jc w:val="left"/>
            </w:pPr>
            <w:r>
              <w:t xml:space="preserve">FastAPI 0.143</w:t>
            </w:r>
          </w:p>
        </w:tc>
      </w:tr>
      <w:tr>
        <w:tc>
          <w:tcPr/>
          <w:p>
            <w:pPr>
              <w:pStyle w:val="Compact"/>
              <w:jc w:val="left"/>
            </w:pPr>
            <w:r>
              <w:t xml:space="preserve">Accès aux données</w:t>
            </w:r>
          </w:p>
        </w:tc>
        <w:tc>
          <w:tcPr/>
          <w:p>
            <w:pPr>
              <w:pStyle w:val="Compact"/>
              <w:jc w:val="left"/>
            </w:pPr>
            <w:r>
              <w:t xml:space="preserve">SQLAlchemy 2 (ORM), psycopg 3</w:t>
            </w:r>
          </w:p>
        </w:tc>
        <w:tc>
          <w:tcPr/>
          <w:p>
            <w:pPr>
              <w:pStyle w:val="Compact"/>
              <w:jc w:val="left"/>
            </w:pPr>
            <w:r>
              <w:t xml:space="preserve">2.1</w:t>
            </w:r>
          </w:p>
        </w:tc>
      </w:tr>
      <w:tr>
        <w:tc>
          <w:tcPr/>
          <w:p>
            <w:pPr>
              <w:pStyle w:val="Compact"/>
              <w:jc w:val="left"/>
            </w:pPr>
            <w:r>
              <w:t xml:space="preserve">Base de données</w:t>
            </w:r>
          </w:p>
        </w:tc>
        <w:tc>
          <w:tcPr/>
          <w:p>
            <w:pPr>
              <w:pStyle w:val="Compact"/>
              <w:jc w:val="left"/>
            </w:pPr>
            <w:r>
              <w:rPr>
                <w:bCs/>
                <w:b/>
              </w:rPr>
              <w:t xml:space="preserve">PostgreSQL 16</w:t>
            </w:r>
            <w:r>
              <w:t xml:space="preserve"> </w:t>
            </w:r>
            <w:r>
              <w:t xml:space="preserve">(+ extension</w:t>
            </w:r>
            <w:r>
              <w:t xml:space="preserve"> </w:t>
            </w:r>
            <w:r>
              <w:rPr>
                <w:rStyle w:val="VerbatimChar"/>
              </w:rPr>
              <w:t xml:space="preserve">pg_trgm</w:t>
            </w:r>
            <w:r>
              <w:t xml:space="preserve">) ; SQLite en développement</w:t>
            </w:r>
          </w:p>
        </w:tc>
        <w:tc>
          <w:tcPr/>
          <w:p>
            <w:pPr>
              <w:pStyle w:val="Compact"/>
              <w:jc w:val="left"/>
            </w:pPr>
            <w:r>
              <w:t xml:space="preserve">16</w:t>
            </w:r>
          </w:p>
        </w:tc>
      </w:tr>
      <w:tr>
        <w:tc>
          <w:tcPr/>
          <w:p>
            <w:pPr>
              <w:pStyle w:val="Compact"/>
              <w:jc w:val="left"/>
            </w:pPr>
            <w:r>
              <w:t xml:space="preserve">Stockage des fichiers</w:t>
            </w:r>
          </w:p>
        </w:tc>
        <w:tc>
          <w:tcPr/>
          <w:p>
            <w:pPr>
              <w:pStyle w:val="Compact"/>
              <w:jc w:val="left"/>
            </w:pPr>
            <w:r>
              <w:rPr>
                <w:bCs/>
                <w:b/>
              </w:rPr>
              <w:t xml:space="preserve">MinIO</w:t>
            </w:r>
            <w:r>
              <w:t xml:space="preserve"> </w:t>
            </w:r>
            <w:r>
              <w:t xml:space="preserve">(compatible S3) ou système de fichiers</w:t>
            </w:r>
          </w:p>
        </w:tc>
        <w:tc>
          <w:tcPr/>
          <w:p>
            <w:pPr>
              <w:pStyle w:val="Compact"/>
              <w:jc w:val="left"/>
            </w:pPr>
            <w:r>
              <w:t xml:space="preserve">—</w:t>
            </w:r>
          </w:p>
        </w:tc>
      </w:tr>
      <w:tr>
        <w:tc>
          <w:tcPr/>
          <w:p>
            <w:pPr>
              <w:pStyle w:val="Compact"/>
              <w:jc w:val="left"/>
            </w:pPr>
            <w:r>
              <w:t xml:space="preserve">Chiffrement</w:t>
            </w:r>
          </w:p>
        </w:tc>
        <w:tc>
          <w:tcPr/>
          <w:p>
            <w:pPr>
              <w:pStyle w:val="Compact"/>
              <w:jc w:val="left"/>
            </w:pPr>
            <w:r>
              <w:rPr>
                <w:rStyle w:val="VerbatimChar"/>
              </w:rPr>
              <w:t xml:space="preserve">cryptography</w:t>
            </w:r>
            <w:r>
              <w:t xml:space="preserve"> </w:t>
            </w:r>
            <w:r>
              <w:t xml:space="preserve">: AES-256-GCM ; bcrypt ; JWT HS256 (PyJWT)</w:t>
            </w:r>
          </w:p>
        </w:tc>
        <w:tc>
          <w:tcPr/>
          <w:p>
            <w:pPr>
              <w:pStyle w:val="Compact"/>
              <w:jc w:val="left"/>
            </w:pPr>
            <w:r>
              <w:t xml:space="preserve">—</w:t>
            </w:r>
          </w:p>
        </w:tc>
      </w:tr>
      <w:tr>
        <w:tc>
          <w:tcPr/>
          <w:p>
            <w:pPr>
              <w:pStyle w:val="Compact"/>
              <w:jc w:val="left"/>
            </w:pPr>
            <w:r>
              <w:t xml:space="preserve">Conversion / OCR</w:t>
            </w:r>
          </w:p>
        </w:tc>
        <w:tc>
          <w:tcPr/>
          <w:p>
            <w:pPr>
              <w:pStyle w:val="Compact"/>
              <w:jc w:val="left"/>
            </w:pPr>
            <w:r>
              <w:rPr>
                <w:bCs/>
                <w:b/>
              </w:rPr>
              <w:t xml:space="preserve">OCRmyPDF</w:t>
            </w:r>
            <w:r>
              <w:t xml:space="preserve"> </w:t>
            </w:r>
            <w:r>
              <w:t xml:space="preserve">+ Tesseract (fra, eng) + Ghostscript ;</w:t>
            </w:r>
            <w:r>
              <w:t xml:space="preserve"> </w:t>
            </w:r>
            <w:r>
              <w:rPr>
                <w:bCs/>
                <w:b/>
              </w:rPr>
              <w:t xml:space="preserve">LibreOffice</w:t>
            </w:r>
            <w:r>
              <w:t xml:space="preserve"> </w:t>
            </w:r>
            <w:r>
              <w:t xml:space="preserve">headless ; pypdf, pypdfium2</w:t>
            </w:r>
          </w:p>
        </w:tc>
        <w:tc>
          <w:tcPr/>
          <w:p>
            <w:pPr>
              <w:pStyle w:val="Compact"/>
              <w:jc w:val="left"/>
            </w:pPr>
            <w:r>
              <w:t xml:space="preserve">OCRmyPDF 17</w:t>
            </w:r>
          </w:p>
        </w:tc>
      </w:tr>
      <w:tr>
        <w:tc>
          <w:tcPr/>
          <w:p>
            <w:pPr>
              <w:pStyle w:val="Compact"/>
              <w:jc w:val="left"/>
            </w:pPr>
            <w:r>
              <w:t xml:space="preserve">Tâches planifiées</w:t>
            </w:r>
          </w:p>
        </w:tc>
        <w:tc>
          <w:tcPr/>
          <w:p>
            <w:pPr>
              <w:pStyle w:val="Compact"/>
              <w:jc w:val="left"/>
            </w:pPr>
            <w:r>
              <w:t xml:space="preserve">APScheduler (processus</w:t>
            </w:r>
            <w:r>
              <w:t xml:space="preserve"> </w:t>
            </w:r>
            <w:r>
              <w:rPr>
                <w:iCs/>
                <w:i/>
              </w:rPr>
              <w:t xml:space="preserve">worker</w:t>
            </w:r>
            <w:r>
              <w:t xml:space="preserve"> </w:t>
            </w:r>
            <w:r>
              <w:t xml:space="preserve">séparé)</w:t>
            </w:r>
          </w:p>
        </w:tc>
        <w:tc>
          <w:tcPr/>
          <w:p>
            <w:pPr>
              <w:pStyle w:val="Compact"/>
              <w:jc w:val="left"/>
            </w:pPr>
            <w:r>
              <w:t xml:space="preserve">3.11</w:t>
            </w:r>
          </w:p>
        </w:tc>
      </w:tr>
      <w:tr>
        <w:tc>
          <w:tcPr/>
          <w:p>
            <w:pPr>
              <w:pStyle w:val="Compact"/>
              <w:jc w:val="left"/>
            </w:pPr>
            <w:r>
              <w:t xml:space="preserve">Frontal</w:t>
            </w:r>
          </w:p>
        </w:tc>
        <w:tc>
          <w:tcPr/>
          <w:p>
            <w:pPr>
              <w:pStyle w:val="Compact"/>
              <w:jc w:val="left"/>
            </w:pPr>
            <w:r>
              <w:t xml:space="preserve">Nginx (TLS 1.3)</w:t>
            </w:r>
          </w:p>
        </w:tc>
        <w:tc>
          <w:tcPr/>
          <w:p>
            <w:pPr>
              <w:pStyle w:val="Compact"/>
              <w:jc w:val="left"/>
            </w:pPr>
            <w:r>
              <w:t xml:space="preserve">1.27</w:t>
            </w:r>
          </w:p>
        </w:tc>
      </w:tr>
      <w:tr>
        <w:tc>
          <w:tcPr/>
          <w:p>
            <w:pPr>
              <w:pStyle w:val="Compact"/>
              <w:jc w:val="left"/>
            </w:pPr>
            <w:r>
              <w:t xml:space="preserve">Interface web</w:t>
            </w:r>
          </w:p>
        </w:tc>
        <w:tc>
          <w:tcPr/>
          <w:p>
            <w:pPr>
              <w:pStyle w:val="Compact"/>
              <w:jc w:val="left"/>
            </w:pPr>
            <w:r>
              <w:t xml:space="preserve">HTML/CSS/JavaScript natif servi par l’API</w:t>
            </w:r>
          </w:p>
        </w:tc>
        <w:tc>
          <w:tcPr/>
          <w:p>
            <w:pPr>
              <w:pStyle w:val="Compact"/>
              <w:jc w:val="left"/>
            </w:pPr>
            <w:r>
              <w:t xml:space="preserve">—</w:t>
            </w:r>
          </w:p>
        </w:tc>
      </w:tr>
      <w:tr>
        <w:tc>
          <w:tcPr/>
          <w:p>
            <w:pPr>
              <w:pStyle w:val="Compact"/>
              <w:jc w:val="left"/>
            </w:pPr>
            <w:r>
              <w:t xml:space="preserve">Déploiement</w:t>
            </w:r>
          </w:p>
        </w:tc>
        <w:tc>
          <w:tcPr/>
          <w:p>
            <w:pPr>
              <w:pStyle w:val="Compact"/>
              <w:jc w:val="left"/>
            </w:pPr>
            <w:r>
              <w:t xml:space="preserve">Docker Compose ; CI GitHub Actions</w:t>
            </w:r>
          </w:p>
        </w:tc>
        <w:tc>
          <w:tcPr/>
          <w:p>
            <w:pPr>
              <w:pStyle w:val="Compact"/>
              <w:jc w:val="left"/>
            </w:pPr>
            <w:r>
              <w:t xml:space="preserve">—</w:t>
            </w:r>
          </w:p>
        </w:tc>
      </w:tr>
    </w:tbl>
    <w:bookmarkEnd w:id="22"/>
    <w:bookmarkStart w:id="23" w:name="décisions-darchitecture-adr"/>
    <w:p>
      <w:pPr>
        <w:pStyle w:val="Heading2"/>
      </w:pPr>
      <w:r>
        <w:t xml:space="preserve">3.2 Décisions d’architecture (ADR)</w:t>
      </w:r>
    </w:p>
    <w:p>
      <w:pPr>
        <w:pStyle w:val="FirstParagraph"/>
      </w:pPr>
      <w:r>
        <w:rPr>
          <w:bCs/>
          <w:b/>
        </w:rPr>
        <w:t xml:space="preserve">ADR-01 — FastAPI plutôt que NestJS.</w:t>
      </w:r>
      <w:r>
        <w:t xml:space="preserve"> </w:t>
      </w:r>
      <w:r>
        <w:t xml:space="preserve">Le cœur de valeur de la GED est le traitement documentaire (OCR, PDF/A, extraction de texte, rendu d’aperçus). L’écosystème Python couvre ces besoins nativement (OCRmyPDF, pypdf, pytesseract, pypdfium2) sans pont inter-langages. FastAPI apporte la validation par Pydantic, la documentation OpenAPI générée automatiquement (contrat d’interopérabilité EX-04) et de bonnes performances. La robustesse du workflow, argument de NestJS, est obtenue par une machine à états explicite et testée (</w:t>
      </w:r>
      <w:r>
        <w:rPr>
          <w:rStyle w:val="VerbatimChar"/>
        </w:rPr>
        <w:t xml:space="preserve">services/workflow.py</w:t>
      </w:r>
      <w:r>
        <w:t xml:space="preserve">).</w:t>
      </w:r>
    </w:p>
    <w:p>
      <w:pPr>
        <w:pStyle w:val="BodyText"/>
      </w:pPr>
      <w:r>
        <w:rPr>
          <w:bCs/>
          <w:b/>
        </w:rPr>
        <w:t xml:space="preserve">ADR-02 — Recherche plein texte PostgreSQL plutôt qu’OpenSearch (pour la V1).</w:t>
      </w:r>
      <w:r>
        <w:t xml:space="preserve"> </w:t>
      </w:r>
      <w:r>
        <w:t xml:space="preserve">L’index GIN sur</w:t>
      </w:r>
      <w:r>
        <w:t xml:space="preserve"> </w:t>
      </w:r>
      <w:r>
        <w:rPr>
          <w:rStyle w:val="VerbatimChar"/>
        </w:rPr>
        <w:t xml:space="preserve">to_tsvector('french', texte)</w:t>
      </w:r>
      <w:r>
        <w:t xml:space="preserve"> </w:t>
      </w:r>
      <w:r>
        <w:t xml:space="preserve">couvre la recherche plein texte avec racinisation française, classement (</w:t>
      </w:r>
      <w:r>
        <w:rPr>
          <w:rStyle w:val="VerbatimChar"/>
        </w:rPr>
        <w:t xml:space="preserve">ts_rank</w:t>
      </w:r>
      <w:r>
        <w:t xml:space="preserve">) et extraits surlignés (</w:t>
      </w:r>
      <w:r>
        <w:rPr>
          <w:rStyle w:val="VerbatimChar"/>
        </w:rPr>
        <w:t xml:space="preserve">ts_headline</w:t>
      </w:r>
      <w:r>
        <w:t xml:space="preserve">). Il évite un composant supplémentaire à exploiter et à sécuriser, et garantit la cohérence transactionnelle entre métadonnées et index. Mesure : 2 000 notices avec texte → recherche plein texte en 0,44 s, recherche par critères en moins de 50 ms (cf. §10). Le service</w:t>
      </w:r>
      <w:r>
        <w:t xml:space="preserve"> </w:t>
      </w:r>
      <w:r>
        <w:rPr>
          <w:rStyle w:val="VerbatimChar"/>
        </w:rPr>
        <w:t xml:space="preserve">services/search.py</w:t>
      </w:r>
      <w:r>
        <w:t xml:space="preserve"> </w:t>
      </w:r>
      <w:r>
        <w:t xml:space="preserve">isole la recherche : si le volume dépasse plusieurs centaines de milliers de documents, un connecteur OpenSearch pourra le remplacer sans toucher à l’API.</w:t>
      </w:r>
    </w:p>
    <w:p>
      <w:pPr>
        <w:pStyle w:val="BodyText"/>
      </w:pPr>
      <w:r>
        <w:rPr>
          <w:bCs/>
          <w:b/>
        </w:rPr>
        <w:t xml:space="preserve">ADR-03 — Chiffrement applicatif AES-256-GCM avant stockage.</w:t>
      </w:r>
      <w:r>
        <w:t xml:space="preserve"> </w:t>
      </w:r>
      <w:r>
        <w:t xml:space="preserve">Plutôt que de dépendre uniquement du chiffrement côté serveur de MinIO (qui exige un KMS), l’application chiffre chaque fichier</w:t>
      </w:r>
      <w:r>
        <w:t xml:space="preserve"> </w:t>
      </w:r>
      <w:r>
        <w:rPr>
          <w:bCs/>
          <w:b/>
        </w:rPr>
        <w:t xml:space="preserve">avant</w:t>
      </w:r>
      <w:r>
        <w:t xml:space="preserve"> </w:t>
      </w:r>
      <w:r>
        <w:t xml:space="preserve">de l’écrire. Le stockage (MinIO, S3 public, NAS) ne voit jamais de données en clair : une fuite de sauvegarde ou du bucket ne révèle rien. Le mode GCM authentifie aussi le contenu : toute altération est détectée au déchiffrement, ce qui complète le contrôle SHA-256.</w:t>
      </w:r>
    </w:p>
    <w:p>
      <w:pPr>
        <w:pStyle w:val="BodyText"/>
      </w:pPr>
      <w:r>
        <w:rPr>
          <w:bCs/>
          <w:b/>
        </w:rPr>
        <w:t xml:space="preserve">ADR-04 — OCRmyPDF plutôt qu’Apache Tika.</w:t>
      </w:r>
      <w:r>
        <w:t xml:space="preserve"> </w:t>
      </w:r>
      <w:r>
        <w:t xml:space="preserve">OCRmyPDF produit directement un</w:t>
      </w:r>
      <w:r>
        <w:t xml:space="preserve"> </w:t>
      </w:r>
      <w:r>
        <w:rPr>
          <w:bCs/>
          <w:b/>
        </w:rPr>
        <w:t xml:space="preserve">PDF/A-2b</w:t>
      </w:r>
      <w:r>
        <w:t xml:space="preserve"> </w:t>
      </w:r>
      <w:r>
        <w:t xml:space="preserve">avec couche texte OCR (exigence EX-06), là où Tika ne fait qu’extraire du texte et impose une JVM. LibreOffice headless convertit les formats bureautiques en PDF/A-2b. La chaîne se dégrade proprement si un outil manque (statut</w:t>
      </w:r>
      <w:r>
        <w:t xml:space="preserve"> </w:t>
      </w:r>
      <w:r>
        <w:rPr>
          <w:rStyle w:val="VerbatimChar"/>
        </w:rPr>
        <w:t xml:space="preserve">PARTIAL</w:t>
      </w:r>
      <w:r>
        <w:t xml:space="preserve">, journal de conversion).</w:t>
      </w:r>
    </w:p>
    <w:p>
      <w:pPr>
        <w:pStyle w:val="BodyText"/>
      </w:pPr>
      <w:r>
        <w:rPr>
          <w:bCs/>
          <w:b/>
        </w:rPr>
        <w:t xml:space="preserve">ADR-05 — Journal d’audit chaîné par empreintes.</w:t>
      </w:r>
      <w:r>
        <w:t xml:space="preserve"> </w:t>
      </w:r>
      <w:r>
        <w:t xml:space="preserve">Chaque entrée contient l’empreinte de la précédente (</w:t>
      </w:r>
      <w:r>
        <w:rPr>
          <w:rStyle w:val="VerbatimChar"/>
        </w:rPr>
        <w:t xml:space="preserve">prev_hash</w:t>
      </w:r>
      <w:r>
        <w:t xml:space="preserve">) et sa propre empreinte (</w:t>
      </w:r>
      <w:r>
        <w:rPr>
          <w:rStyle w:val="VerbatimChar"/>
        </w:rPr>
        <w:t xml:space="preserve">entry_hash</w:t>
      </w:r>
      <w:r>
        <w:t xml:space="preserve">) : c’est le principe d’une chaîne de blocs, sans sa complexité. Deux protections se combinent : en PostgreSQL, des déclencheurs interdisent</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et</w:t>
      </w:r>
      <w:r>
        <w:t xml:space="preserve"> </w:t>
      </w:r>
      <w:r>
        <w:rPr>
          <w:rStyle w:val="VerbatimChar"/>
        </w:rPr>
        <w:t xml:space="preserve">TRUNCATE</w:t>
      </w:r>
      <w:r>
        <w:t xml:space="preserve"> </w:t>
      </w:r>
      <w:r>
        <w:t xml:space="preserve">; et si un administrateur de base contourne ces déclencheurs, la vérification de la chaîne révèle l’altération.</w:t>
      </w:r>
    </w:p>
    <w:p>
      <w:pPr>
        <w:pStyle w:val="BodyText"/>
      </w:pPr>
      <w:r>
        <w:rPr>
          <w:bCs/>
          <w:b/>
        </w:rPr>
        <w:t xml:space="preserve">ADR-06 — Traitements lourds hors du chemin de la requête.</w:t>
      </w:r>
      <w:r>
        <w:t xml:space="preserve"> </w:t>
      </w:r>
      <w:r>
        <w:t xml:space="preserve">Le dépôt répond dès que le fichier est haché, chiffré et enregistré ; la conversion PDF/A et l’OCR sont exécutés en tâche de fond. Cela tient l’objectif &lt; 2 s même pour un scan de 50 pages. Un job nocturne reprend les conversions restées en attente ou en échec.</w:t>
      </w:r>
    </w:p>
    <w:bookmarkEnd w:id="23"/>
    <w:bookmarkEnd w:id="24"/>
    <w:bookmarkStart w:id="28" w:name="vue-densemble"/>
    <w:p>
      <w:pPr>
        <w:pStyle w:val="Heading1"/>
      </w:pPr>
      <w:r>
        <w:t xml:space="preserve">4. Vue d’ensemble</w:t>
      </w:r>
    </w:p>
    <w:p>
      <w:pPr>
        <w:pStyle w:val="CaptionedFigure"/>
      </w:pPr>
      <w:r>
        <w:drawing>
          <wp:inline>
            <wp:extent cx="5334000" cy="3272085"/>
            <wp:effectExtent b="0" l="0" r="0" t="0"/>
            <wp:docPr descr="Architecture technique" title="" id="26" name="Picture"/>
            <a:graphic>
              <a:graphicData uri="http://schemas.openxmlformats.org/drawingml/2006/picture">
                <pic:pic>
                  <pic:nvPicPr>
                    <pic:cNvPr descr="diagrammes/architecture.png" id="27" name="Picture"/>
                    <pic:cNvPicPr>
                      <a:picLocks noChangeArrowheads="1" noChangeAspect="1"/>
                    </pic:cNvPicPr>
                  </pic:nvPicPr>
                  <pic:blipFill>
                    <a:blip r:embed="rId25"/>
                    <a:stretch>
                      <a:fillRect/>
                    </a:stretch>
                  </pic:blipFill>
                  <pic:spPr bwMode="auto">
                    <a:xfrm>
                      <a:off x="0" y="0"/>
                      <a:ext cx="5334000" cy="3272085"/>
                    </a:xfrm>
                    <a:prstGeom prst="rect">
                      <a:avLst/>
                    </a:prstGeom>
                    <a:noFill/>
                    <a:ln w="9525">
                      <a:noFill/>
                      <a:headEnd/>
                      <a:tailEnd/>
                    </a:ln>
                  </pic:spPr>
                </pic:pic>
              </a:graphicData>
            </a:graphic>
          </wp:inline>
        </w:drawing>
      </w:r>
    </w:p>
    <w:p>
      <w:pPr>
        <w:pStyle w:val="ImageCaption"/>
      </w:pPr>
      <w:r>
        <w:t xml:space="preserve">Architecture technique</w:t>
      </w:r>
    </w:p>
    <w:p>
      <w:pPr>
        <w:pStyle w:val="BodyText"/>
      </w:pPr>
      <w:r>
        <w:t xml:space="preserve">Le système suit une</w:t>
      </w:r>
      <w:r>
        <w:t xml:space="preserve"> </w:t>
      </w:r>
      <w:r>
        <w:rPr>
          <w:bCs/>
          <w:b/>
        </w:rPr>
        <w:t xml:space="preserve">architecture en couches</w:t>
      </w:r>
      <w:r>
        <w:t xml:space="preserve"> </w:t>
      </w:r>
      <w:r>
        <w:t xml:space="preserve">déployée en conteneurs :</w:t>
      </w:r>
    </w:p>
    <w:p>
      <w:pPr>
        <w:numPr>
          <w:ilvl w:val="0"/>
          <w:numId w:val="1001"/>
        </w:numPr>
        <w:pStyle w:val="Compact"/>
      </w:pPr>
      <w:r>
        <w:rPr>
          <w:bCs/>
          <w:b/>
        </w:rPr>
        <w:t xml:space="preserve">Frontal (DMZ)</w:t>
      </w:r>
      <w:r>
        <w:t xml:space="preserve"> </w:t>
      </w:r>
      <w:r>
        <w:t xml:space="preserve">— Nginx termine le TLS 1.3, impose HSTS et la politique de sécurité du contenu (CSP), limite le débit sur l’authentification (anti force brute) et transmet les téléversements en flux continu.</w:t>
      </w:r>
    </w:p>
    <w:p>
      <w:pPr>
        <w:numPr>
          <w:ilvl w:val="0"/>
          <w:numId w:val="1001"/>
        </w:numPr>
        <w:pStyle w:val="Compact"/>
      </w:pPr>
      <w:r>
        <w:rPr>
          <w:bCs/>
          <w:b/>
        </w:rPr>
        <w:t xml:space="preserve">Application</w:t>
      </w:r>
      <w:r>
        <w:t xml:space="preserve"> </w:t>
      </w:r>
      <w:r>
        <w:t xml:space="preserve">— l’API FastAPI (4 workers) porte la logique métier et l’interface web ; le</w:t>
      </w:r>
      <w:r>
        <w:t xml:space="preserve"> </w:t>
      </w:r>
      <w:r>
        <w:rPr>
          <w:iCs/>
          <w:i/>
        </w:rPr>
        <w:t xml:space="preserve">worker</w:t>
      </w:r>
      <w:r>
        <w:t xml:space="preserve"> </w:t>
      </w:r>
      <w:r>
        <w:t xml:space="preserve">exécute les tâches planifiées et les captures automatiques. Les deux partagent le même code et la même configuration.</w:t>
      </w:r>
    </w:p>
    <w:p>
      <w:pPr>
        <w:numPr>
          <w:ilvl w:val="0"/>
          <w:numId w:val="1001"/>
        </w:numPr>
        <w:pStyle w:val="Compact"/>
      </w:pPr>
      <w:r>
        <w:rPr>
          <w:bCs/>
          <w:b/>
        </w:rPr>
        <w:t xml:space="preserve">Données</w:t>
      </w:r>
      <w:r>
        <w:t xml:space="preserve"> </w:t>
      </w:r>
      <w:r>
        <w:t xml:space="preserve">— PostgreSQL contient métadonnées, index, droits et traces ; MinIO contient les fichiers chiffrés. Les deux sont sauvegardés chaque jour.</w:t>
      </w:r>
    </w:p>
    <w:bookmarkEnd w:id="28"/>
    <w:bookmarkStart w:id="31" w:name="vue-logique"/>
    <w:p>
      <w:pPr>
        <w:pStyle w:val="Heading1"/>
      </w:pPr>
      <w:r>
        <w:t xml:space="preserve">5. Vue logique</w:t>
      </w:r>
    </w:p>
    <w:bookmarkStart w:id="29" w:name="découpage-en-modules"/>
    <w:p>
      <w:pPr>
        <w:pStyle w:val="Heading2"/>
      </w:pPr>
      <w:r>
        <w:t xml:space="preserve">5.1 Découpage en modules</w:t>
      </w:r>
    </w:p>
    <w:p>
      <w:pPr>
        <w:pStyle w:val="SourceCode"/>
      </w:pPr>
      <w:r>
        <w:rPr>
          <w:rStyle w:val="VerbatimChar"/>
        </w:rPr>
        <w:t xml:space="preserve">backend/app/</w:t>
      </w:r>
      <w:r>
        <w:br/>
      </w:r>
      <w:r>
        <w:rPr>
          <w:rStyle w:val="VerbatimChar"/>
        </w:rPr>
        <w:t xml:space="preserve">├── main.py                  Application FastAPI, middlewares (temps de réponse, en-têtes de sécurité)</w:t>
      </w:r>
      <w:r>
        <w:br/>
      </w:r>
      <w:r>
        <w:rPr>
          <w:rStyle w:val="VerbatimChar"/>
        </w:rPr>
        <w:t xml:space="preserve">├── core/</w:t>
      </w:r>
      <w:r>
        <w:br/>
      </w:r>
      <w:r>
        <w:rPr>
          <w:rStyle w:val="VerbatimChar"/>
        </w:rPr>
        <w:t xml:space="preserve">│   ├── config.py            Configuration par variables d'environnement (SIGED_*)</w:t>
      </w:r>
      <w:r>
        <w:br/>
      </w:r>
      <w:r>
        <w:rPr>
          <w:rStyle w:val="VerbatimChar"/>
        </w:rPr>
        <w:t xml:space="preserve">│   ├── database.py          Moteur SQLAlchemy, création du schéma + objets PostgreSQL</w:t>
      </w:r>
      <w:r>
        <w:br/>
      </w:r>
      <w:r>
        <w:rPr>
          <w:rStyle w:val="VerbatimChar"/>
        </w:rPr>
        <w:t xml:space="preserve">│   ├── security.py          bcrypt, JWT, clés d'API, permissions et rôles</w:t>
      </w:r>
      <w:r>
        <w:br/>
      </w:r>
      <w:r>
        <w:rPr>
          <w:rStyle w:val="VerbatimChar"/>
        </w:rPr>
        <w:t xml:space="preserve">│   ├── crypto.py            Chiffrement AES-256-GCM par blocs (flux)</w:t>
      </w:r>
      <w:r>
        <w:br/>
      </w:r>
      <w:r>
        <w:rPr>
          <w:rStyle w:val="VerbatimChar"/>
        </w:rPr>
        <w:t xml:space="preserve">│   └── deps.py              Identification (JWT / X-API-Key) et contrôle RBAC</w:t>
      </w:r>
      <w:r>
        <w:br/>
      </w:r>
      <w:r>
        <w:rPr>
          <w:rStyle w:val="VerbatimChar"/>
        </w:rPr>
        <w:t xml:space="preserve">├── models.py                Modèle de données (11 tables)</w:t>
      </w:r>
      <w:r>
        <w:br/>
      </w:r>
      <w:r>
        <w:rPr>
          <w:rStyle w:val="VerbatimChar"/>
        </w:rPr>
        <w:t xml:space="preserve">├── schemas.py               Contrats d'entrée/sortie (Pydantic)</w:t>
      </w:r>
      <w:r>
        <w:br/>
      </w:r>
      <w:r>
        <w:rPr>
          <w:rStyle w:val="VerbatimChar"/>
        </w:rPr>
        <w:t xml:space="preserve">├── api/                     Couche présentation REST (48 opérations)</w:t>
      </w:r>
      <w:r>
        <w:br/>
      </w:r>
      <w:r>
        <w:rPr>
          <w:rStyle w:val="VerbatimChar"/>
        </w:rPr>
        <w:t xml:space="preserve">│   ├── auth.py  documents.py  search.py  classification.py  admin.py</w:t>
      </w:r>
      <w:r>
        <w:br/>
      </w:r>
      <w:r>
        <w:rPr>
          <w:rStyle w:val="VerbatimChar"/>
        </w:rPr>
        <w:t xml:space="preserve">├── services/                Couche métier</w:t>
      </w:r>
      <w:r>
        <w:br/>
      </w:r>
      <w:r>
        <w:rPr>
          <w:rStyle w:val="VerbatimChar"/>
        </w:rPr>
        <w:t xml:space="preserve">│   ├── documents.py         Acquisition, empreinte, versions, métadonnées, traitement</w:t>
      </w:r>
      <w:r>
        <w:br/>
      </w:r>
      <w:r>
        <w:rPr>
          <w:rStyle w:val="VerbatimChar"/>
        </w:rPr>
        <w:t xml:space="preserve">│   ├── conversion.py        PDF/A, OCR, extraction de texte</w:t>
      </w:r>
      <w:r>
        <w:br/>
      </w:r>
      <w:r>
        <w:rPr>
          <w:rStyle w:val="VerbatimChar"/>
        </w:rPr>
        <w:t xml:space="preserve">│   ├── storage.py           Stockage hybride (local / S3) + façade chiffrante</w:t>
      </w:r>
      <w:r>
        <w:br/>
      </w:r>
      <w:r>
        <w:rPr>
          <w:rStyle w:val="VerbatimChar"/>
        </w:rPr>
        <w:t xml:space="preserve">│   ├── classification.py    Plan de classement, classement automatique</w:t>
      </w:r>
      <w:r>
        <w:br/>
      </w:r>
      <w:r>
        <w:rPr>
          <w:rStyle w:val="VerbatimChar"/>
        </w:rPr>
        <w:t xml:space="preserve">│   ├── search.py            Recherche multicritère et plein texte</w:t>
      </w:r>
      <w:r>
        <w:br/>
      </w:r>
      <w:r>
        <w:rPr>
          <w:rStyle w:val="VerbatimChar"/>
        </w:rPr>
        <w:t xml:space="preserve">│   ├── workflow.py          Machine à états de validation</w:t>
      </w:r>
      <w:r>
        <w:br/>
      </w:r>
      <w:r>
        <w:rPr>
          <w:rStyle w:val="VerbatimChar"/>
        </w:rPr>
        <w:t xml:space="preserve">│   ├── retention.py         DUA, sort final, élimination, versement</w:t>
      </w:r>
      <w:r>
        <w:br/>
      </w:r>
      <w:r>
        <w:rPr>
          <w:rStyle w:val="VerbatimChar"/>
        </w:rPr>
        <w:t xml:space="preserve">│   ├── integrity.py         Contrôle périodique des empreintes</w:t>
      </w:r>
      <w:r>
        <w:br/>
      </w:r>
      <w:r>
        <w:rPr>
          <w:rStyle w:val="VerbatimChar"/>
        </w:rPr>
        <w:t xml:space="preserve">│   ├── audit.py             Journal chaîné inaltérable</w:t>
      </w:r>
      <w:r>
        <w:br/>
      </w:r>
      <w:r>
        <w:rPr>
          <w:rStyle w:val="VerbatimChar"/>
        </w:rPr>
        <w:t xml:space="preserve">│   ├── oais.py              Export de paquets AIP (ISO 14721)</w:t>
      </w:r>
      <w:r>
        <w:br/>
      </w:r>
      <w:r>
        <w:rPr>
          <w:rStyle w:val="VerbatimChar"/>
        </w:rPr>
        <w:t xml:space="preserve">│   ├── events.py            Webhooks signés, notifications e-mail</w:t>
      </w:r>
      <w:r>
        <w:br/>
      </w:r>
      <w:r>
        <w:rPr>
          <w:rStyle w:val="VerbatimChar"/>
        </w:rPr>
        <w:t xml:space="preserve">│   └── bootstrap.py         Rôles, administrateur, plan de classement initial</w:t>
      </w:r>
      <w:r>
        <w:br/>
      </w:r>
      <w:r>
        <w:rPr>
          <w:rStyle w:val="VerbatimChar"/>
        </w:rPr>
        <w:t xml:space="preserve">├── jobs/                    Processus worker</w:t>
      </w:r>
      <w:r>
        <w:br/>
      </w:r>
      <w:r>
        <w:rPr>
          <w:rStyle w:val="VerbatimChar"/>
        </w:rPr>
        <w:t xml:space="preserve">│   ├── scheduler.py  hot_folder.py  mail_ingest.py</w:t>
      </w:r>
      <w:r>
        <w:br/>
      </w:r>
      <w:r>
        <w:rPr>
          <w:rStyle w:val="VerbatimChar"/>
        </w:rPr>
        <w:t xml:space="preserve">└── static/                  Interface web (index.html, app.js, style.css)</w:t>
      </w:r>
    </w:p>
    <w:p>
      <w:pPr>
        <w:pStyle w:val="FirstParagraph"/>
      </w:pPr>
      <w:r>
        <w:rPr>
          <w:bCs/>
          <w:b/>
        </w:rPr>
        <w:t xml:space="preserve">Règle de dépendance</w:t>
      </w:r>
      <w:r>
        <w:t xml:space="preserve"> </w:t>
      </w:r>
      <w:r>
        <w:t xml:space="preserve">:</w:t>
      </w:r>
      <w:r>
        <w:t xml:space="preserve"> </w:t>
      </w:r>
      <w:r>
        <w:rPr>
          <w:rStyle w:val="VerbatimChar"/>
        </w:rPr>
        <w:t xml:space="preserve">api → services → (models, core)</w:t>
      </w:r>
      <w:r>
        <w:t xml:space="preserve">. Les routes ne contiennent pas de logique métier ; les services ne dépendent pas de FastAPI (ils sont réutilisés tels quels par le worker, le hot folder et l’ingestion e-mail). Les erreurs métier sont levées sous forme de</w:t>
      </w:r>
      <w:r>
        <w:t xml:space="preserve"> </w:t>
      </w:r>
      <w:r>
        <w:rPr>
          <w:rStyle w:val="VerbatimChar"/>
        </w:rPr>
        <w:t xml:space="preserve">BusinessError(message, code HTTP)</w:t>
      </w:r>
      <w:r>
        <w:t xml:space="preserve"> </w:t>
      </w:r>
      <w:r>
        <w:t xml:space="preserve">et traduites en réponses JSON par un gestionnaire unique.</w:t>
      </w:r>
    </w:p>
    <w:bookmarkEnd w:id="29"/>
    <w:bookmarkStart w:id="30" w:name="principales-opérations-dapi"/>
    <w:p>
      <w:pPr>
        <w:pStyle w:val="Heading2"/>
      </w:pPr>
      <w:r>
        <w:t xml:space="preserve">5.2 Principales opérations d’API</w:t>
      </w:r>
    </w:p>
    <w:tbl>
      <w:tblPr>
        <w:tblStyle w:val="Table"/>
        <w:tblW w:type="pct" w:w="5000"/>
        <w:tblLook w:firstRow="1" w:lastRow="0" w:firstColumn="0" w:lastColumn="0" w:noHBand="0" w:noVBand="0" w:val="0020"/>
        <w:jc w:val="start"/>
      </w:tblPr>
      <w:tblGrid>
        <w:gridCol w:w="2077"/>
        <w:gridCol w:w="5842"/>
      </w:tblGrid>
      <w:tr>
        <w:trPr>
          <w:tblHeader w:val="true"/>
        </w:trPr>
        <w:tc>
          <w:tcPr/>
          <w:p>
            <w:pPr>
              <w:pStyle w:val="Compact"/>
              <w:jc w:val="left"/>
            </w:pPr>
            <w:r>
              <w:t xml:space="preserve">Domaine</w:t>
            </w:r>
          </w:p>
        </w:tc>
        <w:tc>
          <w:tcPr/>
          <w:p>
            <w:pPr>
              <w:pStyle w:val="Compact"/>
              <w:jc w:val="left"/>
            </w:pPr>
            <w:r>
              <w:t xml:space="preserve">Opérations</w:t>
            </w:r>
          </w:p>
        </w:tc>
      </w:tr>
      <w:tr>
        <w:tc>
          <w:tcPr/>
          <w:p>
            <w:pPr>
              <w:pStyle w:val="Compact"/>
              <w:jc w:val="left"/>
            </w:pPr>
            <w:r>
              <w:t xml:space="preserve">Authentification</w:t>
            </w:r>
          </w:p>
        </w:tc>
        <w:tc>
          <w:tcPr/>
          <w:p>
            <w:pPr>
              <w:pStyle w:val="Compact"/>
              <w:jc w:val="left"/>
            </w:pPr>
            <w:r>
              <w:rPr>
                <w:rStyle w:val="VerbatimChar"/>
              </w:rPr>
              <w:t xml:space="preserve">POST /api/auth/login</w:t>
            </w:r>
            <w:r>
              <w:t xml:space="preserve">,</w:t>
            </w:r>
            <w:r>
              <w:t xml:space="preserve"> </w:t>
            </w:r>
            <w:r>
              <w:rPr>
                <w:rStyle w:val="VerbatimChar"/>
              </w:rPr>
              <w:t xml:space="preserve">GET /api/auth/me</w:t>
            </w:r>
            <w:r>
              <w:t xml:space="preserve">,</w:t>
            </w:r>
            <w:r>
              <w:t xml:space="preserve"> </w:t>
            </w:r>
            <w:r>
              <w:rPr>
                <w:rStyle w:val="VerbatimChar"/>
              </w:rPr>
              <w:t xml:space="preserve">GET/POST/PATCH /api/users</w:t>
            </w:r>
            <w:r>
              <w:t xml:space="preserve">,</w:t>
            </w:r>
            <w:r>
              <w:t xml:space="preserve"> </w:t>
            </w:r>
            <w:r>
              <w:rPr>
                <w:rStyle w:val="VerbatimChar"/>
              </w:rPr>
              <w:t xml:space="preserve">GET /api/roles</w:t>
            </w:r>
          </w:p>
        </w:tc>
      </w:tr>
      <w:tr>
        <w:tc>
          <w:tcPr/>
          <w:p>
            <w:pPr>
              <w:pStyle w:val="Compact"/>
              <w:jc w:val="left"/>
            </w:pPr>
            <w:r>
              <w:t xml:space="preserve">Documents</w:t>
            </w:r>
          </w:p>
        </w:tc>
        <w:tc>
          <w:tcPr/>
          <w:p>
            <w:pPr>
              <w:pStyle w:val="Compact"/>
              <w:jc w:val="left"/>
            </w:pPr>
            <w:r>
              <w:rPr>
                <w:rStyle w:val="VerbatimChar"/>
              </w:rPr>
              <w:t xml:space="preserve">POST /api/documents</w:t>
            </w:r>
            <w:r>
              <w:t xml:space="preserve">,</w:t>
            </w:r>
            <w:r>
              <w:t xml:space="preserve"> </w:t>
            </w:r>
            <w:r>
              <w:rPr>
                <w:rStyle w:val="VerbatimChar"/>
              </w:rPr>
              <w:t xml:space="preserve">POST /api/documents/batch</w:t>
            </w:r>
            <w:r>
              <w:t xml:space="preserve">,</w:t>
            </w:r>
            <w:r>
              <w:t xml:space="preserve"> </w:t>
            </w:r>
            <w:r>
              <w:rPr>
                <w:rStyle w:val="VerbatimChar"/>
              </w:rPr>
              <w:t xml:space="preserve">GET/PATCH/DELETE /api/documents/{id}</w:t>
            </w:r>
          </w:p>
        </w:tc>
      </w:tr>
      <w:tr>
        <w:tc>
          <w:tcPr/>
          <w:p>
            <w:pPr>
              <w:pStyle w:val="Compact"/>
              <w:jc w:val="left"/>
            </w:pPr>
            <w:r>
              <w:t xml:space="preserve">Versions</w:t>
            </w:r>
          </w:p>
        </w:tc>
        <w:tc>
          <w:tcPr/>
          <w:p>
            <w:pPr>
              <w:pStyle w:val="Compact"/>
              <w:jc w:val="left"/>
            </w:pPr>
            <w:r>
              <w:rPr>
                <w:rStyle w:val="VerbatimChar"/>
              </w:rPr>
              <w:t xml:space="preserve">GET/POST /api/documents/{id}/versions</w:t>
            </w:r>
            <w:r>
              <w:t xml:space="preserve">,</w:t>
            </w:r>
            <w:r>
              <w:t xml:space="preserve"> </w:t>
            </w:r>
            <w:r>
              <w:rPr>
                <w:rStyle w:val="VerbatimChar"/>
              </w:rPr>
              <w:t xml:space="preserve">GET …/versions/{vid}/verify</w:t>
            </w:r>
          </w:p>
        </w:tc>
      </w:tr>
      <w:tr>
        <w:tc>
          <w:tcPr/>
          <w:p>
            <w:pPr>
              <w:pStyle w:val="Compact"/>
              <w:jc w:val="left"/>
            </w:pPr>
            <w:r>
              <w:t xml:space="preserve">Consultation</w:t>
            </w:r>
          </w:p>
        </w:tc>
        <w:tc>
          <w:tcPr/>
          <w:p>
            <w:pPr>
              <w:pStyle w:val="Compact"/>
              <w:jc w:val="left"/>
            </w:pPr>
            <w:r>
              <w:rPr>
                <w:rStyle w:val="VerbatimChar"/>
              </w:rPr>
              <w:t xml:space="preserve">GET …/preview</w:t>
            </w:r>
            <w:r>
              <w:t xml:space="preserve">,</w:t>
            </w:r>
            <w:r>
              <w:t xml:space="preserve"> </w:t>
            </w:r>
            <w:r>
              <w:rPr>
                <w:rStyle w:val="VerbatimChar"/>
              </w:rPr>
              <w:t xml:space="preserve">GET …/preview/pages</w:t>
            </w:r>
            <w:r>
              <w:t xml:space="preserve">,</w:t>
            </w:r>
            <w:r>
              <w:t xml:space="preserve"> </w:t>
            </w:r>
            <w:r>
              <w:rPr>
                <w:rStyle w:val="VerbatimChar"/>
              </w:rPr>
              <w:t xml:space="preserve">GET …/preview/page/{n}</w:t>
            </w:r>
            <w:r>
              <w:t xml:space="preserve">,</w:t>
            </w:r>
            <w:r>
              <w:t xml:space="preserve"> </w:t>
            </w:r>
            <w:r>
              <w:rPr>
                <w:rStyle w:val="VerbatimChar"/>
              </w:rPr>
              <w:t xml:space="preserve">GET …/download</w:t>
            </w:r>
          </w:p>
        </w:tc>
      </w:tr>
      <w:tr>
        <w:tc>
          <w:tcPr/>
          <w:p>
            <w:pPr>
              <w:pStyle w:val="Compact"/>
              <w:jc w:val="left"/>
            </w:pPr>
            <w:r>
              <w:t xml:space="preserve">Workflow</w:t>
            </w:r>
          </w:p>
        </w:tc>
        <w:tc>
          <w:tcPr/>
          <w:p>
            <w:pPr>
              <w:pStyle w:val="Compact"/>
              <w:jc w:val="left"/>
            </w:pPr>
            <w:r>
              <w:rPr>
                <w:rStyle w:val="VerbatimChar"/>
              </w:rPr>
              <w:t xml:space="preserve">POST …/submit</w:t>
            </w:r>
            <w:r>
              <w:t xml:space="preserve">,</w:t>
            </w:r>
            <w:r>
              <w:t xml:space="preserve"> </w:t>
            </w:r>
            <w:r>
              <w:rPr>
                <w:rStyle w:val="VerbatimChar"/>
              </w:rPr>
              <w:t xml:space="preserve">POST …/approve</w:t>
            </w:r>
            <w:r>
              <w:t xml:space="preserve">,</w:t>
            </w:r>
            <w:r>
              <w:t xml:space="preserve"> </w:t>
            </w:r>
            <w:r>
              <w:rPr>
                <w:rStyle w:val="VerbatimChar"/>
              </w:rPr>
              <w:t xml:space="preserve">POST …/reject</w:t>
            </w:r>
            <w:r>
              <w:t xml:space="preserve">,</w:t>
            </w:r>
            <w:r>
              <w:t xml:space="preserve"> </w:t>
            </w:r>
            <w:r>
              <w:rPr>
                <w:rStyle w:val="VerbatimChar"/>
              </w:rPr>
              <w:t xml:space="preserve">GET …/workflow</w:t>
            </w:r>
          </w:p>
        </w:tc>
      </w:tr>
      <w:tr>
        <w:tc>
          <w:tcPr/>
          <w:p>
            <w:pPr>
              <w:pStyle w:val="Compact"/>
              <w:jc w:val="left"/>
            </w:pPr>
            <w:r>
              <w:t xml:space="preserve">Recherche</w:t>
            </w:r>
          </w:p>
        </w:tc>
        <w:tc>
          <w:tcPr/>
          <w:p>
            <w:pPr>
              <w:pStyle w:val="Compact"/>
              <w:jc w:val="left"/>
            </w:pPr>
            <w:r>
              <w:rPr>
                <w:rStyle w:val="VerbatimChar"/>
              </w:rPr>
              <w:t xml:space="preserve">GET /api/search</w:t>
            </w:r>
            <w:r>
              <w:t xml:space="preserve"> </w:t>
            </w:r>
            <w:r>
              <w:t xml:space="preserve">(13 critères, tri, pagination)</w:t>
            </w:r>
          </w:p>
        </w:tc>
      </w:tr>
      <w:tr>
        <w:tc>
          <w:tcPr/>
          <w:p>
            <w:pPr>
              <w:pStyle w:val="Compact"/>
              <w:jc w:val="left"/>
            </w:pPr>
            <w:r>
              <w:t xml:space="preserve">Classement</w:t>
            </w:r>
          </w:p>
        </w:tc>
        <w:tc>
          <w:tcPr/>
          <w:p>
            <w:pPr>
              <w:pStyle w:val="Compact"/>
              <w:jc w:val="left"/>
            </w:pPr>
            <w:r>
              <w:rPr>
                <w:rStyle w:val="VerbatimChar"/>
              </w:rPr>
              <w:t xml:space="preserve">GET/POST/PUT/DELETE /api/classification</w:t>
            </w:r>
            <w:r>
              <w:t xml:space="preserve">,</w:t>
            </w:r>
            <w:r>
              <w:t xml:space="preserve"> </w:t>
            </w:r>
            <w:r>
              <w:rPr>
                <w:rStyle w:val="VerbatimChar"/>
              </w:rPr>
              <w:t xml:space="preserve">POST /api/classification/suggest</w:t>
            </w:r>
          </w:p>
        </w:tc>
      </w:tr>
      <w:tr>
        <w:tc>
          <w:tcPr/>
          <w:p>
            <w:pPr>
              <w:pStyle w:val="Compact"/>
              <w:jc w:val="left"/>
            </w:pPr>
            <w:r>
              <w:t xml:space="preserve">Conformité</w:t>
            </w:r>
          </w:p>
        </w:tc>
        <w:tc>
          <w:tcPr/>
          <w:p>
            <w:pPr>
              <w:pStyle w:val="Compact"/>
              <w:jc w:val="left"/>
            </w:pPr>
            <w:r>
              <w:rPr>
                <w:rStyle w:val="VerbatimChar"/>
              </w:rPr>
              <w:t xml:space="preserve">GET /api/audit</w:t>
            </w:r>
            <w:r>
              <w:t xml:space="preserve">,</w:t>
            </w:r>
            <w:r>
              <w:t xml:space="preserve"> </w:t>
            </w:r>
            <w:r>
              <w:rPr>
                <w:rStyle w:val="VerbatimChar"/>
              </w:rPr>
              <w:t xml:space="preserve">GET /api/audit/verify</w:t>
            </w:r>
            <w:r>
              <w:t xml:space="preserve">,</w:t>
            </w:r>
            <w:r>
              <w:t xml:space="preserve"> </w:t>
            </w:r>
            <w:r>
              <w:rPr>
                <w:rStyle w:val="VerbatimChar"/>
              </w:rPr>
              <w:t xml:space="preserve">POST /api/admin/integrity/run</w:t>
            </w:r>
            <w:r>
              <w:t xml:space="preserve">,</w:t>
            </w:r>
            <w:r>
              <w:t xml:space="preserve"> </w:t>
            </w:r>
            <w:r>
              <w:rPr>
                <w:rStyle w:val="VerbatimChar"/>
              </w:rPr>
              <w:t xml:space="preserve">GET /api/retention/due</w:t>
            </w:r>
            <w:r>
              <w:t xml:space="preserve">,</w:t>
            </w:r>
            <w:r>
              <w:t xml:space="preserve"> </w:t>
            </w:r>
            <w:r>
              <w:rPr>
                <w:rStyle w:val="VerbatimChar"/>
              </w:rPr>
              <w:t xml:space="preserve">POST /api/retention/run</w:t>
            </w:r>
            <w:r>
              <w:t xml:space="preserve">,</w:t>
            </w:r>
            <w:r>
              <w:t xml:space="preserve"> </w:t>
            </w:r>
            <w:r>
              <w:rPr>
                <w:rStyle w:val="VerbatimChar"/>
              </w:rPr>
              <w:t xml:space="preserve">PUT …/legal-hold</w:t>
            </w:r>
            <w:r>
              <w:t xml:space="preserve">,</w:t>
            </w:r>
            <w:r>
              <w:t xml:space="preserve"> </w:t>
            </w:r>
            <w:r>
              <w:rPr>
                <w:rStyle w:val="VerbatimChar"/>
              </w:rPr>
              <w:t xml:space="preserve">GET …/aip</w:t>
            </w:r>
          </w:p>
        </w:tc>
      </w:tr>
      <w:tr>
        <w:tc>
          <w:tcPr/>
          <w:p>
            <w:pPr>
              <w:pStyle w:val="Compact"/>
              <w:jc w:val="left"/>
            </w:pPr>
            <w:r>
              <w:t xml:space="preserve">Interopérabilité</w:t>
            </w:r>
          </w:p>
        </w:tc>
        <w:tc>
          <w:tcPr/>
          <w:p>
            <w:pPr>
              <w:pStyle w:val="Compact"/>
              <w:jc w:val="left"/>
            </w:pPr>
            <w:r>
              <w:rPr>
                <w:rStyle w:val="VerbatimChar"/>
              </w:rPr>
              <w:t xml:space="preserve">GET/POST/DELETE /api/integrations/api-keys</w:t>
            </w:r>
            <w:r>
              <w:t xml:space="preserve">,</w:t>
            </w:r>
            <w:r>
              <w:t xml:space="preserve"> </w:t>
            </w:r>
            <w:r>
              <w:rPr>
                <w:rStyle w:val="VerbatimChar"/>
              </w:rPr>
              <w:t xml:space="preserve">…/webhooks</w:t>
            </w:r>
            <w:r>
              <w:t xml:space="preserve">,</w:t>
            </w:r>
            <w:r>
              <w:t xml:space="preserve"> </w:t>
            </w:r>
            <w:r>
              <w:rPr>
                <w:rStyle w:val="VerbatimChar"/>
              </w:rPr>
              <w:t xml:space="preserve">GET /api/integrations/events</w:t>
            </w:r>
          </w:p>
        </w:tc>
      </w:tr>
      <w:tr>
        <w:tc>
          <w:tcPr/>
          <w:p>
            <w:pPr>
              <w:pStyle w:val="Compact"/>
              <w:jc w:val="left"/>
            </w:pPr>
            <w:r>
              <w:t xml:space="preserve">Supervision</w:t>
            </w:r>
          </w:p>
        </w:tc>
        <w:tc>
          <w:tcPr/>
          <w:p>
            <w:pPr>
              <w:pStyle w:val="Compact"/>
              <w:jc w:val="left"/>
            </w:pPr>
            <w:r>
              <w:rPr>
                <w:rStyle w:val="VerbatimChar"/>
              </w:rPr>
              <w:t xml:space="preserve">GET /health</w:t>
            </w:r>
            <w:r>
              <w:t xml:space="preserve">,</w:t>
            </w:r>
            <w:r>
              <w:t xml:space="preserve"> </w:t>
            </w:r>
            <w:r>
              <w:rPr>
                <w:rStyle w:val="VerbatimChar"/>
              </w:rPr>
              <w:t xml:space="preserve">GET /api/admin/stats</w:t>
            </w:r>
          </w:p>
        </w:tc>
      </w:tr>
    </w:tbl>
    <w:p>
      <w:pPr>
        <w:pStyle w:val="BodyText"/>
      </w:pPr>
      <w:r>
        <w:t xml:space="preserve">Le contrat complet est généré automatiquement (</w:t>
      </w:r>
      <w:r>
        <w:rPr>
          <w:rStyle w:val="VerbatimChar"/>
        </w:rPr>
        <w:t xml:space="preserve">/docs</w:t>
      </w:r>
      <w:r>
        <w:t xml:space="preserve">,</w:t>
      </w:r>
      <w:r>
        <w:t xml:space="preserve"> </w:t>
      </w:r>
      <w:r>
        <w:rPr>
          <w:rStyle w:val="VerbatimChar"/>
        </w:rPr>
        <w:t xml:space="preserve">/openapi.json</w:t>
      </w:r>
      <w:r>
        <w:t xml:space="preserve">).</w:t>
      </w:r>
    </w:p>
    <w:bookmarkEnd w:id="30"/>
    <w:bookmarkEnd w:id="31"/>
    <w:bookmarkStart w:id="35" w:name="modèle-de-données"/>
    <w:p>
      <w:pPr>
        <w:pStyle w:val="Heading1"/>
      </w:pPr>
      <w:r>
        <w:t xml:space="preserve">6. Modèle de données</w:t>
      </w:r>
    </w:p>
    <w:p>
      <w:pPr>
        <w:pStyle w:val="CaptionedFigure"/>
      </w:pPr>
      <w:r>
        <w:drawing>
          <wp:inline>
            <wp:extent cx="5334000" cy="6388003"/>
            <wp:effectExtent b="0" l="0" r="0" t="0"/>
            <wp:docPr descr="Modèle de données" title="" id="33" name="Picture"/>
            <a:graphic>
              <a:graphicData uri="http://schemas.openxmlformats.org/drawingml/2006/picture">
                <pic:pic>
                  <pic:nvPicPr>
                    <pic:cNvPr descr="diagrammes/modele_donnees.png" id="34" name="Picture"/>
                    <pic:cNvPicPr>
                      <a:picLocks noChangeArrowheads="1" noChangeAspect="1"/>
                    </pic:cNvPicPr>
                  </pic:nvPicPr>
                  <pic:blipFill>
                    <a:blip r:embed="rId32"/>
                    <a:stretch>
                      <a:fillRect/>
                    </a:stretch>
                  </pic:blipFill>
                  <pic:spPr bwMode="auto">
                    <a:xfrm>
                      <a:off x="0" y="0"/>
                      <a:ext cx="5334000" cy="6388003"/>
                    </a:xfrm>
                    <a:prstGeom prst="rect">
                      <a:avLst/>
                    </a:prstGeom>
                    <a:noFill/>
                    <a:ln w="9525">
                      <a:noFill/>
                      <a:headEnd/>
                      <a:tailEnd/>
                    </a:ln>
                  </pic:spPr>
                </pic:pic>
              </a:graphicData>
            </a:graphic>
          </wp:inline>
        </w:drawing>
      </w:r>
    </w:p>
    <w:p>
      <w:pPr>
        <w:pStyle w:val="ImageCaption"/>
      </w:pPr>
      <w:r>
        <w:t xml:space="preserve">Modèle de données</w:t>
      </w:r>
    </w:p>
    <w:tbl>
      <w:tblPr>
        <w:tblStyle w:val="Table"/>
        <w:tblW w:type="pct" w:w="5000"/>
        <w:tblLook w:firstRow="1" w:lastRow="0" w:firstColumn="0" w:lastColumn="0" w:noHBand="0" w:noVBand="0" w:val="0020"/>
        <w:jc w:val="start"/>
      </w:tblPr>
      <w:tblGrid>
        <w:gridCol w:w="3870"/>
        <w:gridCol w:w="4050"/>
      </w:tblGrid>
      <w:tr>
        <w:trPr>
          <w:tblHeader w:val="true"/>
        </w:trPr>
        <w:tc>
          <w:tcPr/>
          <w:p>
            <w:pPr>
              <w:pStyle w:val="Compact"/>
              <w:jc w:val="left"/>
            </w:pPr>
            <w:r>
              <w:t xml:space="preserve">Table</w:t>
            </w:r>
          </w:p>
        </w:tc>
        <w:tc>
          <w:tcPr/>
          <w:p>
            <w:pPr>
              <w:pStyle w:val="Compact"/>
              <w:jc w:val="left"/>
            </w:pPr>
            <w:r>
              <w:t xml:space="preserve">Rôle</w:t>
            </w:r>
          </w:p>
        </w:tc>
      </w:tr>
      <w:tr>
        <w:tc>
          <w:tcPr/>
          <w:p>
            <w:pPr>
              <w:pStyle w:val="Compact"/>
              <w:jc w:val="left"/>
            </w:pPr>
            <w:r>
              <w:rPr>
                <w:rStyle w:val="VerbatimChar"/>
              </w:rPr>
              <w:t xml:space="preserve">documents</w:t>
            </w:r>
          </w:p>
        </w:tc>
        <w:tc>
          <w:tcPr/>
          <w:p>
            <w:pPr>
              <w:pStyle w:val="Compact"/>
              <w:jc w:val="left"/>
            </w:pPr>
            <w:r>
              <w:t xml:space="preserve">Entité logique : fiche de métadonnées obligatoire, cote lisible</w:t>
            </w:r>
            <w:r>
              <w:t xml:space="preserve"> </w:t>
            </w:r>
            <w:r>
              <w:rPr>
                <w:rStyle w:val="VerbatimChar"/>
              </w:rPr>
              <w:t xml:space="preserve">DOC-AAAA-NNNNNN</w:t>
            </w:r>
            <w:r>
              <w:t xml:space="preserve">, statut, DUA, date de fin de conservation</w:t>
            </w:r>
            <w:r>
              <w:t xml:space="preserve"> </w:t>
            </w:r>
            <w:r>
              <w:rPr>
                <w:rStyle w:val="VerbatimChar"/>
              </w:rPr>
              <w:t xml:space="preserve">retention_until</w:t>
            </w:r>
            <w:r>
              <w:t xml:space="preserve">, gel juridique</w:t>
            </w:r>
          </w:p>
        </w:tc>
      </w:tr>
      <w:tr>
        <w:tc>
          <w:tcPr/>
          <w:p>
            <w:pPr>
              <w:pStyle w:val="Compact"/>
              <w:jc w:val="left"/>
            </w:pPr>
            <w:r>
              <w:rPr>
                <w:rStyle w:val="VerbatimChar"/>
              </w:rPr>
              <w:t xml:space="preserve">document_versions</w:t>
            </w:r>
          </w:p>
        </w:tc>
        <w:tc>
          <w:tcPr/>
          <w:p>
            <w:pPr>
              <w:pStyle w:val="Compact"/>
              <w:jc w:val="left"/>
            </w:pPr>
            <w:r>
              <w:t xml:space="preserve">Une ligne par version : numéro majeur/mineur, empreintes SHA-256 de l’original</w:t>
            </w:r>
            <w:r>
              <w:t xml:space="preserve"> </w:t>
            </w:r>
            <w:r>
              <w:rPr>
                <w:bCs/>
                <w:b/>
              </w:rPr>
              <w:t xml:space="preserve">et</w:t>
            </w:r>
            <w:r>
              <w:t xml:space="preserve"> </w:t>
            </w:r>
            <w:r>
              <w:t xml:space="preserve">de la représentation PDF/A, clés de stockage, texte extrait/OCR, indicateur « figée »</w:t>
            </w:r>
          </w:p>
        </w:tc>
      </w:tr>
      <w:tr>
        <w:tc>
          <w:tcPr/>
          <w:p>
            <w:pPr>
              <w:pStyle w:val="Compact"/>
              <w:jc w:val="left"/>
            </w:pPr>
            <w:r>
              <w:rPr>
                <w:rStyle w:val="VerbatimChar"/>
              </w:rPr>
              <w:t xml:space="preserve">document_metadata</w:t>
            </w:r>
          </w:p>
        </w:tc>
        <w:tc>
          <w:tcPr/>
          <w:p>
            <w:pPr>
              <w:pStyle w:val="Compact"/>
              <w:jc w:val="left"/>
            </w:pPr>
            <w:r>
              <w:t xml:space="preserve">Métadonnées dynamiques clé/valeur (n° de facture, matricule…)</w:t>
            </w:r>
          </w:p>
        </w:tc>
      </w:tr>
      <w:tr>
        <w:tc>
          <w:tcPr/>
          <w:p>
            <w:pPr>
              <w:pStyle w:val="Compact"/>
              <w:jc w:val="left"/>
            </w:pPr>
            <w:r>
              <w:rPr>
                <w:rStyle w:val="VerbatimChar"/>
              </w:rPr>
              <w:t xml:space="preserve">classification_nodes</w:t>
            </w:r>
          </w:p>
        </w:tc>
        <w:tc>
          <w:tcPr/>
          <w:p>
            <w:pPr>
              <w:pStyle w:val="Compact"/>
              <w:jc w:val="left"/>
            </w:pPr>
            <w:r>
              <w:t xml:space="preserve">Plan de classement arborescent, DUA et sort final par défaut, règles de classement automatique</w:t>
            </w:r>
          </w:p>
        </w:tc>
      </w:tr>
      <w:tr>
        <w:tc>
          <w:tcPr/>
          <w:p>
            <w:pPr>
              <w:pStyle w:val="Compact"/>
              <w:jc w:val="left"/>
            </w:pPr>
            <w:r>
              <w:rPr>
                <w:rStyle w:val="VerbatimChar"/>
              </w:rPr>
              <w:t xml:space="preserve">workflow_events</w:t>
            </w:r>
          </w:p>
        </w:tc>
        <w:tc>
          <w:tcPr/>
          <w:p>
            <w:pPr>
              <w:pStyle w:val="Compact"/>
              <w:jc w:val="left"/>
            </w:pPr>
            <w:r>
              <w:t xml:space="preserve">Historique des transitions du circuit de validation</w:t>
            </w:r>
          </w:p>
        </w:tc>
      </w:tr>
      <w:tr>
        <w:tc>
          <w:tcPr/>
          <w:p>
            <w:pPr>
              <w:pStyle w:val="Compact"/>
              <w:jc w:val="left"/>
            </w:pPr>
            <w:r>
              <w:rPr>
                <w:rStyle w:val="VerbatimChar"/>
              </w:rPr>
              <w:t xml:space="preserve">audit_logs</w:t>
            </w:r>
          </w:p>
        </w:tc>
        <w:tc>
          <w:tcPr/>
          <w:p>
            <w:pPr>
              <w:pStyle w:val="Compact"/>
              <w:jc w:val="left"/>
            </w:pPr>
            <w:r>
              <w:t xml:space="preserve">Journal chaîné, en ajout seul</w:t>
            </w:r>
          </w:p>
        </w:tc>
      </w:tr>
      <w:tr>
        <w:tc>
          <w:tcPr/>
          <w:p>
            <w:pPr>
              <w:pStyle w:val="Compact"/>
              <w:jc w:val="left"/>
            </w:pPr>
            <w:r>
              <w:rPr>
                <w:rStyle w:val="VerbatimChar"/>
              </w:rPr>
              <w:t xml:space="preserve">users</w:t>
            </w:r>
            <w:r>
              <w:t xml:space="preserve">,</w:t>
            </w:r>
            <w:r>
              <w:t xml:space="preserve"> </w:t>
            </w:r>
            <w:r>
              <w:rPr>
                <w:rStyle w:val="VerbatimChar"/>
              </w:rPr>
              <w:t xml:space="preserve">roles</w:t>
            </w:r>
            <w:r>
              <w:t xml:space="preserve">,</w:t>
            </w:r>
            <w:r>
              <w:t xml:space="preserve"> </w:t>
            </w:r>
            <w:r>
              <w:rPr>
                <w:rStyle w:val="VerbatimChar"/>
              </w:rPr>
              <w:t xml:space="preserve">api_keys</w:t>
            </w:r>
          </w:p>
        </w:tc>
        <w:tc>
          <w:tcPr/>
          <w:p>
            <w:pPr>
              <w:pStyle w:val="Compact"/>
              <w:jc w:val="left"/>
            </w:pPr>
            <w:r>
              <w:t xml:space="preserve">Identités et RBAC (les clés d’API ne sont stockées que sous forme d’empreinte)</w:t>
            </w:r>
          </w:p>
        </w:tc>
      </w:tr>
      <w:tr>
        <w:tc>
          <w:tcPr/>
          <w:p>
            <w:pPr>
              <w:pStyle w:val="Compact"/>
              <w:jc w:val="left"/>
            </w:pPr>
            <w:r>
              <w:rPr>
                <w:rStyle w:val="VerbatimChar"/>
              </w:rPr>
              <w:t xml:space="preserve">webhooks</w:t>
            </w:r>
            <w:r>
              <w:t xml:space="preserve">,</w:t>
            </w:r>
            <w:r>
              <w:t xml:space="preserve"> </w:t>
            </w:r>
            <w:r>
              <w:rPr>
                <w:rStyle w:val="VerbatimChar"/>
              </w:rPr>
              <w:t xml:space="preserve">integrity_checks</w:t>
            </w:r>
            <w:r>
              <w:t xml:space="preserve">,</w:t>
            </w:r>
            <w:r>
              <w:t xml:space="preserve"> </w:t>
            </w:r>
            <w:r>
              <w:rPr>
                <w:rStyle w:val="VerbatimChar"/>
              </w:rPr>
              <w:t xml:space="preserve">sequences</w:t>
            </w:r>
          </w:p>
        </w:tc>
        <w:tc>
          <w:tcPr/>
          <w:p>
            <w:pPr>
              <w:pStyle w:val="Compact"/>
              <w:jc w:val="left"/>
            </w:pPr>
            <w:r>
              <w:t xml:space="preserve">Abonnements, rapports d’intégrité, compteurs de cotes</w:t>
            </w:r>
          </w:p>
        </w:tc>
      </w:tr>
    </w:tbl>
    <w:p>
      <w:pPr>
        <w:pStyle w:val="BodyText"/>
      </w:pPr>
      <w:r>
        <w:rPr>
          <w:bCs/>
          <w:b/>
        </w:rPr>
        <w:t xml:space="preserve">Index notables</w:t>
      </w:r>
      <w:r>
        <w:t xml:space="preserve"> </w:t>
      </w:r>
      <w:r>
        <w:t xml:space="preserve">: GIN plein texte français sur</w:t>
      </w:r>
      <w:r>
        <w:t xml:space="preserve"> </w:t>
      </w:r>
      <w:r>
        <w:rPr>
          <w:rStyle w:val="VerbatimChar"/>
        </w:rPr>
        <w:t xml:space="preserve">document_versions.extracted_text</w:t>
      </w:r>
      <w:r>
        <w:t xml:space="preserve"> </w:t>
      </w:r>
      <w:r>
        <w:t xml:space="preserve">; GIN trigrammes sur</w:t>
      </w:r>
      <w:r>
        <w:t xml:space="preserve"> </w:t>
      </w:r>
      <w:r>
        <w:rPr>
          <w:rStyle w:val="VerbatimChar"/>
        </w:rPr>
        <w:t xml:space="preserve">title</w:t>
      </w:r>
      <w:r>
        <w:t xml:space="preserve"> </w:t>
      </w:r>
      <w:r>
        <w:t xml:space="preserve">et</w:t>
      </w:r>
      <w:r>
        <w:t xml:space="preserve"> </w:t>
      </w:r>
      <w:r>
        <w:rPr>
          <w:rStyle w:val="VerbatimChar"/>
        </w:rPr>
        <w:t xml:space="preserve">author</w:t>
      </w:r>
      <w:r>
        <w:t xml:space="preserve"> </w:t>
      </w:r>
      <w:r>
        <w:t xml:space="preserve">(recherche floue) ; B-tree sur</w:t>
      </w:r>
      <w:r>
        <w:t xml:space="preserve"> </w:t>
      </w:r>
      <w:r>
        <w:rPr>
          <w:rStyle w:val="VerbatimChar"/>
        </w:rPr>
        <w:t xml:space="preserve">status</w:t>
      </w:r>
      <w:r>
        <w:t xml:space="preserve">,</w:t>
      </w:r>
      <w:r>
        <w:t xml:space="preserve"> </w:t>
      </w:r>
      <w:r>
        <w:rPr>
          <w:rStyle w:val="VerbatimChar"/>
        </w:rPr>
        <w:t xml:space="preserve">doc_type</w:t>
      </w:r>
      <w:r>
        <w:t xml:space="preserve">,</w:t>
      </w:r>
      <w:r>
        <w:t xml:space="preserve"> </w:t>
      </w:r>
      <w:r>
        <w:rPr>
          <w:rStyle w:val="VerbatimChar"/>
        </w:rPr>
        <w:t xml:space="preserve">document_date</w:t>
      </w:r>
      <w:r>
        <w:t xml:space="preserve">,</w:t>
      </w:r>
      <w:r>
        <w:t xml:space="preserve"> </w:t>
      </w:r>
      <w:r>
        <w:rPr>
          <w:rStyle w:val="VerbatimChar"/>
        </w:rPr>
        <w:t xml:space="preserve">retention_until</w:t>
      </w:r>
      <w:r>
        <w:t xml:space="preserve">,</w:t>
      </w:r>
      <w:r>
        <w:t xml:space="preserve"> </w:t>
      </w:r>
      <w:r>
        <w:rPr>
          <w:rStyle w:val="VerbatimChar"/>
        </w:rPr>
        <w:t xml:space="preserve">(meta_key, meta_value)</w:t>
      </w:r>
      <w:r>
        <w:t xml:space="preserve">,</w:t>
      </w:r>
      <w:r>
        <w:t xml:space="preserve"> </w:t>
      </w:r>
      <w:r>
        <w:rPr>
          <w:rStyle w:val="VerbatimChar"/>
        </w:rPr>
        <w:t xml:space="preserve">audit_logs.object_id</w:t>
      </w:r>
      <w:r>
        <w:t xml:space="preserve">.</w:t>
      </w:r>
    </w:p>
    <w:p>
      <w:pPr>
        <w:pStyle w:val="BodyText"/>
      </w:pPr>
      <w:r>
        <w:rPr>
          <w:bCs/>
          <w:b/>
        </w:rPr>
        <w:t xml:space="preserve">Choix</w:t>
      </w:r>
      <w:r>
        <w:t xml:space="preserve"> </w:t>
      </w:r>
      <w:r>
        <w:t xml:space="preserve">:</w:t>
      </w:r>
      <w:r>
        <w:t xml:space="preserve"> </w:t>
      </w:r>
      <w:r>
        <w:rPr>
          <w:rStyle w:val="VerbatimChar"/>
        </w:rPr>
        <w:t xml:space="preserve">retention_until</w:t>
      </w:r>
      <w:r>
        <w:t xml:space="preserve"> </w:t>
      </w:r>
      <w:r>
        <w:t xml:space="preserve">est calculé et</w:t>
      </w:r>
      <w:r>
        <w:t xml:space="preserve"> </w:t>
      </w:r>
      <w:r>
        <w:rPr>
          <w:bCs/>
          <w:b/>
        </w:rPr>
        <w:t xml:space="preserve">stocké</w:t>
      </w:r>
      <w:r>
        <w:t xml:space="preserve"> </w:t>
      </w:r>
      <w:r>
        <w:t xml:space="preserve">(et non recalculé à la volée) pour que la sélection des documents échus soit une simple requête indexée, portable entre SGBD. Le 29 février est ramené au 28 pour les années non bissextiles.</w:t>
      </w:r>
    </w:p>
    <w:bookmarkEnd w:id="35"/>
    <w:bookmarkStart w:id="48" w:name="flux-principaux"/>
    <w:p>
      <w:pPr>
        <w:pStyle w:val="Heading1"/>
      </w:pPr>
      <w:r>
        <w:t xml:space="preserve">7. Flux principaux</w:t>
      </w:r>
    </w:p>
    <w:bookmarkStart w:id="39" w:name="dépôt-dun-document"/>
    <w:p>
      <w:pPr>
        <w:pStyle w:val="Heading2"/>
      </w:pPr>
      <w:r>
        <w:t xml:space="preserve">7.1 Dépôt d’un document</w:t>
      </w:r>
    </w:p>
    <w:p>
      <w:pPr>
        <w:pStyle w:val="CaptionedFigure"/>
      </w:pPr>
      <w:r>
        <w:drawing>
          <wp:inline>
            <wp:extent cx="5067300" cy="2447275"/>
            <wp:effectExtent b="0" l="0" r="0" t="0"/>
            <wp:docPr descr="Séquence de dépôt" title="" id="37" name="Picture"/>
            <a:graphic>
              <a:graphicData uri="http://schemas.openxmlformats.org/drawingml/2006/picture">
                <pic:pic>
                  <pic:nvPicPr>
                    <pic:cNvPr descr="diagrammes/sequence_depot.png" id="38" name="Picture"/>
                    <pic:cNvPicPr>
                      <a:picLocks noChangeArrowheads="1" noChangeAspect="1"/>
                    </pic:cNvPicPr>
                  </pic:nvPicPr>
                  <pic:blipFill>
                    <a:blip r:embed="rId36"/>
                    <a:stretch>
                      <a:fillRect/>
                    </a:stretch>
                  </pic:blipFill>
                  <pic:spPr bwMode="auto">
                    <a:xfrm>
                      <a:off x="0" y="0"/>
                      <a:ext cx="5067300" cy="2447275"/>
                    </a:xfrm>
                    <a:prstGeom prst="rect">
                      <a:avLst/>
                    </a:prstGeom>
                    <a:noFill/>
                    <a:ln w="9525">
                      <a:noFill/>
                      <a:headEnd/>
                      <a:tailEnd/>
                    </a:ln>
                  </pic:spPr>
                </pic:pic>
              </a:graphicData>
            </a:graphic>
          </wp:inline>
        </w:drawing>
      </w:r>
    </w:p>
    <w:p>
      <w:pPr>
        <w:pStyle w:val="ImageCaption"/>
      </w:pPr>
      <w:r>
        <w:t xml:space="preserve">Séquence de dépôt</w:t>
      </w:r>
    </w:p>
    <w:p>
      <w:pPr>
        <w:numPr>
          <w:ilvl w:val="0"/>
          <w:numId w:val="1002"/>
        </w:numPr>
        <w:pStyle w:val="Compact"/>
      </w:pPr>
      <w:r>
        <w:t xml:space="preserve">Le fichier est lu</w:t>
      </w:r>
      <w:r>
        <w:t xml:space="preserve"> </w:t>
      </w:r>
      <w:r>
        <w:rPr>
          <w:bCs/>
          <w:b/>
        </w:rPr>
        <w:t xml:space="preserve">en flux</w:t>
      </w:r>
      <w:r>
        <w:t xml:space="preserve"> </w:t>
      </w:r>
      <w:r>
        <w:t xml:space="preserve">par blocs de 1 Mo ; l’empreinte SHA-256 est calculée à la volée, avant toute transformation : elle prouve l’état du fichier tel qu’il a été reçu.</w:t>
      </w:r>
    </w:p>
    <w:p>
      <w:pPr>
        <w:numPr>
          <w:ilvl w:val="0"/>
          <w:numId w:val="1002"/>
        </w:numPr>
        <w:pStyle w:val="Compact"/>
      </w:pPr>
      <w:r>
        <w:t xml:space="preserve">Le type MIME est déterminé par les « nombres magiques » du fichier, pas seulement par l’extension déclarée.</w:t>
      </w:r>
    </w:p>
    <w:p>
      <w:pPr>
        <w:numPr>
          <w:ilvl w:val="0"/>
          <w:numId w:val="1002"/>
        </w:numPr>
        <w:pStyle w:val="Compact"/>
      </w:pPr>
      <w:r>
        <w:t xml:space="preserve">Un fichier dont l’empreinte existe déjà est refusé (409, avec la cote du document existant) sauf forçage explicite :</w:t>
      </w:r>
      <w:r>
        <w:t xml:space="preserve"> </w:t>
      </w:r>
      <w:r>
        <w:rPr>
          <w:bCs/>
          <w:b/>
        </w:rPr>
        <w:t xml:space="preserve">pas de doublons</w:t>
      </w:r>
      <w:r>
        <w:t xml:space="preserve"> </w:t>
      </w:r>
      <w:r>
        <w:t xml:space="preserve">(EX-01).</w:t>
      </w:r>
    </w:p>
    <w:p>
      <w:pPr>
        <w:numPr>
          <w:ilvl w:val="0"/>
          <w:numId w:val="1002"/>
        </w:numPr>
        <w:pStyle w:val="Compact"/>
      </w:pPr>
      <w:r>
        <w:t xml:space="preserve">Le classement est manuel (id ou code) ou automatique ; la DUA et le sort final sont hérités de la rubrique s’ils ne sont pas saisis ; leur absence finale bloque le dépôt (EX-07).</w:t>
      </w:r>
    </w:p>
    <w:p>
      <w:pPr>
        <w:numPr>
          <w:ilvl w:val="0"/>
          <w:numId w:val="1002"/>
        </w:numPr>
        <w:pStyle w:val="Compact"/>
      </w:pPr>
      <w:r>
        <w:t xml:space="preserve">Le fichier est chiffré et écrit dans le stockage ; la fiche, la version 1.0 et l’entrée d’audit sont enregistrées</w:t>
      </w:r>
      <w:r>
        <w:t xml:space="preserve"> </w:t>
      </w:r>
      <w:r>
        <w:rPr>
          <w:bCs/>
          <w:b/>
        </w:rPr>
        <w:t xml:space="preserve">dans une même transaction</w:t>
      </w:r>
      <w:r>
        <w:t xml:space="preserve">.</w:t>
      </w:r>
    </w:p>
    <w:p>
      <w:pPr>
        <w:numPr>
          <w:ilvl w:val="0"/>
          <w:numId w:val="1002"/>
        </w:numPr>
        <w:pStyle w:val="Compact"/>
      </w:pPr>
      <w:r>
        <w:t xml:space="preserve">En tâche de fond : conversion PDF/A-2b, OCR, extraction du texte, indexation ; si le document n’était pas classé, un second classement automatique est tenté sur le texte OCR.</w:t>
      </w:r>
    </w:p>
    <w:bookmarkEnd w:id="39"/>
    <w:bookmarkStart w:id="43" w:name="circuit-de-validation-et-versions"/>
    <w:p>
      <w:pPr>
        <w:pStyle w:val="Heading2"/>
      </w:pPr>
      <w:r>
        <w:t xml:space="preserve">7.2 Circuit de validation et versions</w:t>
      </w:r>
    </w:p>
    <w:p>
      <w:pPr>
        <w:pStyle w:val="CaptionedFigure"/>
      </w:pPr>
      <w:r>
        <w:drawing>
          <wp:inline>
            <wp:extent cx="2400300" cy="3529852"/>
            <wp:effectExtent b="0" l="0" r="0" t="0"/>
            <wp:docPr descr="Cycle de vie" title="" id="41" name="Picture"/>
            <a:graphic>
              <a:graphicData uri="http://schemas.openxmlformats.org/drawingml/2006/picture">
                <pic:pic>
                  <pic:nvPicPr>
                    <pic:cNvPr descr="diagrammes/workflow.png" id="42" name="Picture"/>
                    <pic:cNvPicPr>
                      <a:picLocks noChangeArrowheads="1" noChangeAspect="1"/>
                    </pic:cNvPicPr>
                  </pic:nvPicPr>
                  <pic:blipFill>
                    <a:blip r:embed="rId40"/>
                    <a:stretch>
                      <a:fillRect/>
                    </a:stretch>
                  </pic:blipFill>
                  <pic:spPr bwMode="auto">
                    <a:xfrm>
                      <a:off x="0" y="0"/>
                      <a:ext cx="2400300" cy="3529852"/>
                    </a:xfrm>
                    <a:prstGeom prst="rect">
                      <a:avLst/>
                    </a:prstGeom>
                    <a:noFill/>
                    <a:ln w="9525">
                      <a:noFill/>
                      <a:headEnd/>
                      <a:tailEnd/>
                    </a:ln>
                  </pic:spPr>
                </pic:pic>
              </a:graphicData>
            </a:graphic>
          </wp:inline>
        </w:drawing>
      </w:r>
    </w:p>
    <w:p>
      <w:pPr>
        <w:pStyle w:val="ImageCaption"/>
      </w:pPr>
      <w:r>
        <w:t xml:space="preserve">Cycle de vie</w:t>
      </w:r>
    </w:p>
    <w:tbl>
      <w:tblPr>
        <w:tblStyle w:val="Table"/>
        <w:tblW w:type="pct" w:w="5000"/>
        <w:tblLook w:firstRow="1" w:lastRow="0" w:firstColumn="0" w:lastColumn="0" w:noHBand="0" w:noVBand="0" w:val="0020"/>
        <w:jc w:val="start"/>
      </w:tblPr>
      <w:tblGrid>
        <w:gridCol w:w="2020"/>
        <w:gridCol w:w="2403"/>
        <w:gridCol w:w="1037"/>
        <w:gridCol w:w="2457"/>
      </w:tblGrid>
      <w:tr>
        <w:trPr>
          <w:tblHeader w:val="true"/>
        </w:trPr>
        <w:tc>
          <w:tcPr/>
          <w:p>
            <w:pPr>
              <w:pStyle w:val="Compact"/>
              <w:jc w:val="left"/>
            </w:pPr>
            <w:r>
              <w:t xml:space="preserve">Action</w:t>
            </w:r>
          </w:p>
        </w:tc>
        <w:tc>
          <w:tcPr/>
          <w:p>
            <w:pPr>
              <w:pStyle w:val="Compact"/>
              <w:jc w:val="left"/>
            </w:pPr>
            <w:r>
              <w:t xml:space="preserve">Statut source → cible</w:t>
            </w:r>
          </w:p>
        </w:tc>
        <w:tc>
          <w:tcPr/>
          <w:p>
            <w:pPr>
              <w:pStyle w:val="Compact"/>
              <w:jc w:val="left"/>
            </w:pPr>
            <w:r>
              <w:t xml:space="preserve">Permission</w:t>
            </w:r>
          </w:p>
        </w:tc>
        <w:tc>
          <w:tcPr/>
          <w:p>
            <w:pPr>
              <w:pStyle w:val="Compact"/>
              <w:jc w:val="left"/>
            </w:pPr>
            <w:r>
              <w:t xml:space="preserve">Règles</w:t>
            </w:r>
          </w:p>
        </w:tc>
      </w:tr>
      <w:tr>
        <w:tc>
          <w:tcPr/>
          <w:p>
            <w:pPr>
              <w:pStyle w:val="Compact"/>
              <w:jc w:val="left"/>
            </w:pPr>
            <w:r>
              <w:t xml:space="preserve">Soumettre</w:t>
            </w:r>
          </w:p>
        </w:tc>
        <w:tc>
          <w:tcPr/>
          <w:p>
            <w:pPr>
              <w:pStyle w:val="Compact"/>
              <w:jc w:val="left"/>
            </w:pPr>
            <w:r>
              <w:t xml:space="preserve">Brouillon → En validation</w:t>
            </w:r>
          </w:p>
        </w:tc>
        <w:tc>
          <w:tcPr/>
          <w:p>
            <w:pPr>
              <w:pStyle w:val="Compact"/>
              <w:jc w:val="left"/>
            </w:pPr>
            <w:r>
              <w:rPr>
                <w:rStyle w:val="VerbatimChar"/>
              </w:rPr>
              <w:t xml:space="preserve">document:write</w:t>
            </w:r>
          </w:p>
        </w:tc>
        <w:tc>
          <w:tcPr/>
          <w:p>
            <w:pPr>
              <w:pStyle w:val="Compact"/>
              <w:jc w:val="left"/>
            </w:pPr>
            <w:r>
              <w:t xml:space="preserve">une version doit exister</w:t>
            </w:r>
          </w:p>
        </w:tc>
      </w:tr>
      <w:tr>
        <w:tc>
          <w:tcPr/>
          <w:p>
            <w:pPr>
              <w:pStyle w:val="Compact"/>
              <w:jc w:val="left"/>
            </w:pPr>
            <w:r>
              <w:t xml:space="preserve">Approuver</w:t>
            </w:r>
          </w:p>
        </w:tc>
        <w:tc>
          <w:tcPr/>
          <w:p>
            <w:pPr>
              <w:pStyle w:val="Compact"/>
              <w:jc w:val="left"/>
            </w:pPr>
            <w:r>
              <w:t xml:space="preserve">En validation → Validé</w:t>
            </w:r>
          </w:p>
        </w:tc>
        <w:tc>
          <w:tcPr/>
          <w:p>
            <w:pPr>
              <w:pStyle w:val="Compact"/>
              <w:jc w:val="left"/>
            </w:pPr>
            <w:r>
              <w:rPr>
                <w:rStyle w:val="VerbatimChar"/>
              </w:rPr>
              <w:t xml:space="preserve">document:validate</w:t>
            </w:r>
          </w:p>
        </w:tc>
        <w:tc>
          <w:tcPr/>
          <w:p>
            <w:pPr>
              <w:pStyle w:val="Compact"/>
              <w:jc w:val="left"/>
            </w:pPr>
            <w:r>
              <w:t xml:space="preserve">l’auteur ne peut pas valider son propre document (séparation des tâches) ; la version devient</w:t>
            </w:r>
            <w:r>
              <w:t xml:space="preserve"> </w:t>
            </w:r>
            <w:r>
              <w:rPr>
                <w:bCs/>
                <w:b/>
              </w:rPr>
              <w:t xml:space="preserve">figée</w:t>
            </w:r>
          </w:p>
        </w:tc>
      </w:tr>
      <w:tr>
        <w:tc>
          <w:tcPr/>
          <w:p>
            <w:pPr>
              <w:pStyle w:val="Compact"/>
              <w:jc w:val="left"/>
            </w:pPr>
            <w:r>
              <w:t xml:space="preserve">Rejeter</w:t>
            </w:r>
          </w:p>
        </w:tc>
        <w:tc>
          <w:tcPr/>
          <w:p>
            <w:pPr>
              <w:pStyle w:val="Compact"/>
              <w:jc w:val="left"/>
            </w:pPr>
            <w:r>
              <w:t xml:space="preserve">En validation → Brouillon</w:t>
            </w:r>
          </w:p>
        </w:tc>
        <w:tc>
          <w:tcPr/>
          <w:p>
            <w:pPr>
              <w:pStyle w:val="Compact"/>
              <w:jc w:val="left"/>
            </w:pPr>
            <w:r>
              <w:rPr>
                <w:rStyle w:val="VerbatimChar"/>
              </w:rPr>
              <w:t xml:space="preserve">document:validate</w:t>
            </w:r>
          </w:p>
        </w:tc>
        <w:tc>
          <w:tcPr/>
          <w:p>
            <w:pPr>
              <w:pStyle w:val="Compact"/>
              <w:jc w:val="left"/>
            </w:pPr>
            <w:r>
              <w:t xml:space="preserve">motif obligatoire</w:t>
            </w:r>
          </w:p>
        </w:tc>
      </w:tr>
      <w:tr>
        <w:tc>
          <w:tcPr/>
          <w:p>
            <w:pPr>
              <w:pStyle w:val="Compact"/>
              <w:jc w:val="left"/>
            </w:pPr>
            <w:r>
              <w:t xml:space="preserve">Nouvelle version</w:t>
            </w:r>
          </w:p>
        </w:tc>
        <w:tc>
          <w:tcPr/>
          <w:p>
            <w:pPr>
              <w:pStyle w:val="Compact"/>
              <w:jc w:val="left"/>
            </w:pPr>
            <w:r>
              <w:t xml:space="preserve">Brouillon : v1.0 → v1.1 (ou v2.0 si majeure)</w:t>
            </w:r>
          </w:p>
        </w:tc>
        <w:tc>
          <w:tcPr/>
          <w:p>
            <w:pPr>
              <w:pStyle w:val="Compact"/>
              <w:jc w:val="left"/>
            </w:pPr>
            <w:r>
              <w:rPr>
                <w:rStyle w:val="VerbatimChar"/>
              </w:rPr>
              <w:t xml:space="preserve">document:write</w:t>
            </w:r>
          </w:p>
        </w:tc>
        <w:tc>
          <w:tcPr/>
          <w:p>
            <w:pPr>
              <w:pStyle w:val="Compact"/>
              <w:jc w:val="left"/>
            </w:pPr>
            <w:r>
              <w:t xml:space="preserve">refusée en validation, sur un document clos ou gelé, ou si le fichier est identique</w:t>
            </w:r>
          </w:p>
        </w:tc>
      </w:tr>
      <w:tr>
        <w:tc>
          <w:tcPr/>
          <w:p>
            <w:pPr>
              <w:pStyle w:val="Compact"/>
              <w:jc w:val="left"/>
            </w:pPr>
            <w:r>
              <w:t xml:space="preserve">Nouvelle version d’un document validé</w:t>
            </w:r>
          </w:p>
        </w:tc>
        <w:tc>
          <w:tcPr/>
          <w:p>
            <w:pPr>
              <w:pStyle w:val="Compact"/>
              <w:jc w:val="left"/>
            </w:pPr>
            <w:r>
              <w:t xml:space="preserve">Validé → Brouillon,</w:t>
            </w:r>
            <w:r>
              <w:t xml:space="preserve"> </w:t>
            </w:r>
            <w:r>
              <w:rPr>
                <w:bCs/>
                <w:b/>
              </w:rPr>
              <w:t xml:space="preserve">v(n+1).0 forcée</w:t>
            </w:r>
          </w:p>
        </w:tc>
        <w:tc>
          <w:tcPr/>
          <w:p>
            <w:pPr>
              <w:pStyle w:val="Compact"/>
              <w:jc w:val="left"/>
            </w:pPr>
            <w:r>
              <w:rPr>
                <w:rStyle w:val="VerbatimChar"/>
              </w:rPr>
              <w:t xml:space="preserve">document:write</w:t>
            </w:r>
          </w:p>
        </w:tc>
        <w:tc>
          <w:tcPr/>
          <w:p>
            <w:pPr>
              <w:pStyle w:val="Compact"/>
              <w:jc w:val="left"/>
            </w:pPr>
            <w:r>
              <w:t xml:space="preserve">les versions validées restent figées et consultables</w:t>
            </w:r>
          </w:p>
        </w:tc>
      </w:tr>
    </w:tbl>
    <w:p>
      <w:pPr>
        <w:pStyle w:val="BodyText"/>
      </w:pPr>
      <w:r>
        <w:t xml:space="preserve">Les métadonnées ne sont modifiables qu’en brouillon ; chaque modification est tracée avec l’ancienne et la nouvelle valeur.</w:t>
      </w:r>
    </w:p>
    <w:bookmarkEnd w:id="43"/>
    <w:bookmarkStart w:id="47" w:name="dua-et-sort-final"/>
    <w:p>
      <w:pPr>
        <w:pStyle w:val="Heading2"/>
      </w:pPr>
      <w:r>
        <w:t xml:space="preserve">7.3 DUA et sort final</w:t>
      </w:r>
    </w:p>
    <w:p>
      <w:pPr>
        <w:pStyle w:val="CaptionedFigure"/>
      </w:pPr>
      <w:r>
        <w:drawing>
          <wp:inline>
            <wp:extent cx="2933700" cy="7018344"/>
            <wp:effectExtent b="0" l="0" r="0" t="0"/>
            <wp:docPr descr="Cycle DUA" title="" id="45" name="Picture"/>
            <a:graphic>
              <a:graphicData uri="http://schemas.openxmlformats.org/drawingml/2006/picture">
                <pic:pic>
                  <pic:nvPicPr>
                    <pic:cNvPr descr="diagrammes/cycle_dua.png" id="46" name="Picture"/>
                    <pic:cNvPicPr>
                      <a:picLocks noChangeArrowheads="1" noChangeAspect="1"/>
                    </pic:cNvPicPr>
                  </pic:nvPicPr>
                  <pic:blipFill>
                    <a:blip r:embed="rId44"/>
                    <a:stretch>
                      <a:fillRect/>
                    </a:stretch>
                  </pic:blipFill>
                  <pic:spPr bwMode="auto">
                    <a:xfrm>
                      <a:off x="0" y="0"/>
                      <a:ext cx="2933700" cy="7018344"/>
                    </a:xfrm>
                    <a:prstGeom prst="rect">
                      <a:avLst/>
                    </a:prstGeom>
                    <a:noFill/>
                    <a:ln w="9525">
                      <a:noFill/>
                      <a:headEnd/>
                      <a:tailEnd/>
                    </a:ln>
                  </pic:spPr>
                </pic:pic>
              </a:graphicData>
            </a:graphic>
          </wp:inline>
        </w:drawing>
      </w:r>
    </w:p>
    <w:p>
      <w:pPr>
        <w:pStyle w:val="ImageCaption"/>
      </w:pPr>
      <w:r>
        <w:t xml:space="preserve">Cycle DUA</w:t>
      </w:r>
    </w:p>
    <w:p>
      <w:pPr>
        <w:pStyle w:val="BodyText"/>
      </w:pPr>
      <w:r>
        <w:t xml:space="preserve">Le job quotidien (03:00) établit le</w:t>
      </w:r>
      <w:r>
        <w:t xml:space="preserve"> </w:t>
      </w:r>
      <w:r>
        <w:rPr>
          <w:bCs/>
          <w:b/>
        </w:rPr>
        <w:t xml:space="preserve">bordereau</w:t>
      </w:r>
      <w:r>
        <w:t xml:space="preserve"> </w:t>
      </w:r>
      <w:r>
        <w:t xml:space="preserve">des documents validés dont la DUA est échue et qui ne sont pas sous gel juridique. Par défaut (</w:t>
      </w:r>
      <w:r>
        <w:rPr>
          <w:rStyle w:val="VerbatimChar"/>
        </w:rPr>
        <w:t xml:space="preserve">SIGED_RETENTION_AUTO_EXECUTE=false</w:t>
      </w:r>
      <w:r>
        <w:t xml:space="preserve">), l’archiviste confirme l’exécution, conformément à la pratique archivistique (visa avant élimination) ; le mode entièrement automatique est disponible par configuration.</w:t>
      </w:r>
    </w:p>
    <w:p>
      <w:pPr>
        <w:numPr>
          <w:ilvl w:val="0"/>
          <w:numId w:val="1003"/>
        </w:numPr>
        <w:pStyle w:val="Compact"/>
      </w:pPr>
      <w:r>
        <w:rPr>
          <w:bCs/>
          <w:b/>
        </w:rPr>
        <w:t xml:space="preserve">DESTROY</w:t>
      </w:r>
      <w:r>
        <w:t xml:space="preserve"> </w:t>
      </w:r>
      <w:r>
        <w:t xml:space="preserve">: suppression physique de toutes les versions (originaux et PDF/A) et du texte indexé ; la notice et la trace d’élimination (empreintes des fichiers détruits) sont conservées dans le journal et valent</w:t>
      </w:r>
      <w:r>
        <w:t xml:space="preserve"> </w:t>
      </w:r>
      <w:r>
        <w:rPr>
          <w:bCs/>
          <w:b/>
        </w:rPr>
        <w:t xml:space="preserve">certificat d’élimination</w:t>
      </w:r>
      <w:r>
        <w:t xml:space="preserve">.</w:t>
      </w:r>
    </w:p>
    <w:p>
      <w:pPr>
        <w:numPr>
          <w:ilvl w:val="0"/>
          <w:numId w:val="1003"/>
        </w:numPr>
        <w:pStyle w:val="Compact"/>
      </w:pPr>
      <w:r>
        <w:rPr>
          <w:bCs/>
          <w:b/>
        </w:rPr>
        <w:t xml:space="preserve">ARCHIVE</w:t>
      </w:r>
      <w:r>
        <w:t xml:space="preserve"> </w:t>
      </w:r>
      <w:r>
        <w:t xml:space="preserve">: statut « Archivé » définitif, toutes les versions figées, export AIP disponible.</w:t>
      </w:r>
    </w:p>
    <w:bookmarkEnd w:id="47"/>
    <w:bookmarkEnd w:id="48"/>
    <w:bookmarkStart w:id="53" w:name="sécurité"/>
    <w:p>
      <w:pPr>
        <w:pStyle w:val="Heading1"/>
      </w:pPr>
      <w:r>
        <w:t xml:space="preserve">8. Sécurité</w:t>
      </w:r>
    </w:p>
    <w:bookmarkStart w:id="49" w:name="authentification"/>
    <w:p>
      <w:pPr>
        <w:pStyle w:val="Heading2"/>
      </w:pPr>
      <w:r>
        <w:t xml:space="preserve">8.1 Authentification</w:t>
      </w:r>
    </w:p>
    <w:p>
      <w:pPr>
        <w:numPr>
          <w:ilvl w:val="0"/>
          <w:numId w:val="1004"/>
        </w:numPr>
        <w:pStyle w:val="Compact"/>
      </w:pPr>
      <w:r>
        <w:t xml:space="preserve">Mots de passe hachés par</w:t>
      </w:r>
      <w:r>
        <w:t xml:space="preserve"> </w:t>
      </w:r>
      <w:r>
        <w:rPr>
          <w:bCs/>
          <w:b/>
        </w:rPr>
        <w:t xml:space="preserve">bcrypt</w:t>
      </w:r>
      <w:r>
        <w:t xml:space="preserve"> </w:t>
      </w:r>
      <w:r>
        <w:t xml:space="preserve">(coût 12) ; politique : 10 caractères minimum, 3 classes de caractères sur 4.</w:t>
      </w:r>
    </w:p>
    <w:p>
      <w:pPr>
        <w:numPr>
          <w:ilvl w:val="0"/>
          <w:numId w:val="1004"/>
        </w:numPr>
        <w:pStyle w:val="Compact"/>
      </w:pPr>
      <w:r>
        <w:rPr>
          <w:bCs/>
          <w:b/>
        </w:rPr>
        <w:t xml:space="preserve">Verrouillage</w:t>
      </w:r>
      <w:r>
        <w:t xml:space="preserve"> </w:t>
      </w:r>
      <w:r>
        <w:t xml:space="preserve">du compte 15 minutes après 5 échecs ; limitation de débit Nginx sur</w:t>
      </w:r>
      <w:r>
        <w:t xml:space="preserve"> </w:t>
      </w:r>
      <w:r>
        <w:rPr>
          <w:rStyle w:val="VerbatimChar"/>
        </w:rPr>
        <w:t xml:space="preserve">/api/auth/login</w:t>
      </w:r>
      <w:r>
        <w:t xml:space="preserve">.</w:t>
      </w:r>
    </w:p>
    <w:p>
      <w:pPr>
        <w:numPr>
          <w:ilvl w:val="0"/>
          <w:numId w:val="1004"/>
        </w:numPr>
        <w:pStyle w:val="Compact"/>
      </w:pPr>
      <w:r>
        <w:t xml:space="preserve">Jetons</w:t>
      </w:r>
      <w:r>
        <w:t xml:space="preserve"> </w:t>
      </w:r>
      <w:r>
        <w:rPr>
          <w:bCs/>
          <w:b/>
        </w:rPr>
        <w:t xml:space="preserve">JWT</w:t>
      </w:r>
      <w:r>
        <w:t xml:space="preserve"> </w:t>
      </w:r>
      <w:r>
        <w:t xml:space="preserve">HS256 de 30 minutes (identifiant unique</w:t>
      </w:r>
      <w:r>
        <w:t xml:space="preserve"> </w:t>
      </w:r>
      <w:r>
        <w:rPr>
          <w:rStyle w:val="VerbatimChar"/>
        </w:rPr>
        <w:t xml:space="preserve">jti</w:t>
      </w:r>
      <w:r>
        <w:t xml:space="preserve">) ; l’état du compte est revérifié à chaque requête (un compte désactivé perd l’accès immédiatement).</w:t>
      </w:r>
    </w:p>
    <w:p>
      <w:pPr>
        <w:numPr>
          <w:ilvl w:val="0"/>
          <w:numId w:val="1004"/>
        </w:numPr>
        <w:pStyle w:val="Compact"/>
      </w:pPr>
      <w:r>
        <w:rPr>
          <w:bCs/>
          <w:b/>
        </w:rPr>
        <w:t xml:space="preserve">Clés d’API</w:t>
      </w:r>
      <w:r>
        <w:t xml:space="preserve"> </w:t>
      </w:r>
      <w:r>
        <w:t xml:space="preserve">pour les applications : 256 bits d’aléa, affichées une seule fois, stockées sous forme d’empreinte SHA-256, révocables, jamais de rôle administrateur.</w:t>
      </w:r>
    </w:p>
    <w:bookmarkEnd w:id="49"/>
    <w:bookmarkStart w:id="50" w:name="contrôle-daccès-rbac"/>
    <w:p>
      <w:pPr>
        <w:pStyle w:val="Heading2"/>
      </w:pPr>
      <w:r>
        <w:t xml:space="preserve">8.2 Contrôle d’accès (RBAC)</w:t>
      </w:r>
    </w:p>
    <w:tbl>
      <w:tblPr>
        <w:tblStyle w:val="Table"/>
        <w:tblW w:type="pct" w:w="5000"/>
        <w:tblLook w:firstRow="1" w:lastRow="0" w:firstColumn="0" w:lastColumn="0" w:noHBand="0" w:noVBand="0" w:val="0020"/>
        <w:jc w:val="start"/>
      </w:tblPr>
      <w:tblGrid>
        <w:gridCol w:w="2589"/>
        <w:gridCol w:w="1066"/>
        <w:gridCol w:w="1066"/>
        <w:gridCol w:w="1066"/>
        <w:gridCol w:w="1066"/>
        <w:gridCol w:w="1066"/>
      </w:tblGrid>
      <w:tr>
        <w:trPr>
          <w:tblHeader w:val="true"/>
        </w:trPr>
        <w:tc>
          <w:tcPr/>
          <w:p>
            <w:pPr>
              <w:pStyle w:val="Compact"/>
              <w:jc w:val="left"/>
            </w:pPr>
            <w:r>
              <w:t xml:space="preserve">Permission</w:t>
            </w:r>
          </w:p>
        </w:tc>
        <w:tc>
          <w:tcPr/>
          <w:p>
            <w:pPr>
              <w:pStyle w:val="Compact"/>
              <w:jc w:val="center"/>
            </w:pPr>
            <w:r>
              <w:t xml:space="preserve">admin</w:t>
            </w:r>
          </w:p>
        </w:tc>
        <w:tc>
          <w:tcPr/>
          <w:p>
            <w:pPr>
              <w:pStyle w:val="Compact"/>
              <w:jc w:val="center"/>
            </w:pPr>
            <w:r>
              <w:t xml:space="preserve">archiviste</w:t>
            </w:r>
          </w:p>
        </w:tc>
        <w:tc>
          <w:tcPr/>
          <w:p>
            <w:pPr>
              <w:pStyle w:val="Compact"/>
              <w:jc w:val="center"/>
            </w:pPr>
            <w:r>
              <w:t xml:space="preserve">validateur</w:t>
            </w:r>
          </w:p>
        </w:tc>
        <w:tc>
          <w:tcPr/>
          <w:p>
            <w:pPr>
              <w:pStyle w:val="Compact"/>
              <w:jc w:val="center"/>
            </w:pPr>
            <w:r>
              <w:t xml:space="preserve">contributeur</w:t>
            </w:r>
          </w:p>
        </w:tc>
        <w:tc>
          <w:tcPr/>
          <w:p>
            <w:pPr>
              <w:pStyle w:val="Compact"/>
              <w:jc w:val="center"/>
            </w:pPr>
            <w:r>
              <w:t xml:space="preserve">lecteur</w:t>
            </w:r>
          </w:p>
        </w:tc>
      </w:tr>
      <w:tr>
        <w:tc>
          <w:tcPr/>
          <w:p>
            <w:pPr>
              <w:pStyle w:val="Compact"/>
              <w:jc w:val="left"/>
            </w:pPr>
            <w:r>
              <w:rPr>
                <w:rStyle w:val="VerbatimChar"/>
              </w:rPr>
              <w:t xml:space="preserve">document:read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document:write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r>
      <w:tr>
        <w:tc>
          <w:tcPr/>
          <w:p>
            <w:pPr>
              <w:pStyle w:val="Compact"/>
              <w:jc w:val="left"/>
            </w:pPr>
            <w:r>
              <w:rPr>
                <w:rStyle w:val="VerbatimChar"/>
              </w:rPr>
              <w:t xml:space="preserve">document:validate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rPr>
                <w:rStyle w:val="VerbatimChar"/>
              </w:rPr>
              <w:t xml:space="preserve">document:delete</w:t>
            </w:r>
            <w:r>
              <w:t xml:space="preserve"> </w:t>
            </w:r>
            <w:r>
              <w:t xml:space="preserve">(brouillons)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classification:manage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retention:manage</w:t>
            </w:r>
            <w:r>
              <w:t xml:space="preserve"> </w:t>
            </w:r>
            <w:r>
              <w:t xml:space="preserve">(DUA, gel, AIP)</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audit:read</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admin:jobs</w:t>
            </w:r>
            <w:r>
              <w:t xml:space="preserve"> </w:t>
            </w:r>
            <w:r>
              <w:t xml:space="preserve">(intégrité)</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user:manage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integration:manage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bl>
    <w:p>
      <w:pPr>
        <w:pStyle w:val="BodyText"/>
      </w:pPr>
      <w:r>
        <w:t xml:space="preserve">Les permissions sont vérifiées côté serveur par une dépendance FastAPI (</w:t>
      </w:r>
      <w:r>
        <w:rPr>
          <w:rStyle w:val="VerbatimChar"/>
        </w:rPr>
        <w:t xml:space="preserve">require(...)</w:t>
      </w:r>
      <w:r>
        <w:t xml:space="preserve">) sur chaque route ; l’interface masque simplement ce que l’utilisateur ne peut pas faire.</w:t>
      </w:r>
    </w:p>
    <w:bookmarkEnd w:id="50"/>
    <w:bookmarkStart w:id="51" w:name="chiffrement"/>
    <w:p>
      <w:pPr>
        <w:pStyle w:val="Heading2"/>
      </w:pPr>
      <w:r>
        <w:t xml:space="preserve">8.3 Chiffrement</w:t>
      </w:r>
    </w:p>
    <w:p>
      <w:pPr>
        <w:numPr>
          <w:ilvl w:val="0"/>
          <w:numId w:val="1005"/>
        </w:numPr>
        <w:pStyle w:val="Compact"/>
      </w:pPr>
      <w:r>
        <w:rPr>
          <w:bCs/>
          <w:b/>
        </w:rPr>
        <w:t xml:space="preserve">En transit</w:t>
      </w:r>
      <w:r>
        <w:t xml:space="preserve"> </w:t>
      </w:r>
      <w:r>
        <w:t xml:space="preserve">: TLS 1.3 exclusivement (</w:t>
      </w:r>
      <w:r>
        <w:rPr>
          <w:rStyle w:val="VerbatimChar"/>
        </w:rPr>
        <w:t xml:space="preserve">ssl_protocols TLSv1.3</w:t>
      </w:r>
      <w:r>
        <w:t xml:space="preserve">), HSTS 2 ans, tickets de session désactivés.</w:t>
      </w:r>
    </w:p>
    <w:p>
      <w:pPr>
        <w:numPr>
          <w:ilvl w:val="0"/>
          <w:numId w:val="1005"/>
        </w:numPr>
        <w:pStyle w:val="Compact"/>
      </w:pPr>
      <w:r>
        <w:rPr>
          <w:bCs/>
          <w:b/>
        </w:rPr>
        <w:t xml:space="preserve">Au repos</w:t>
      </w:r>
      <w:r>
        <w:t xml:space="preserve"> </w:t>
      </w:r>
      <w:r>
        <w:t xml:space="preserve">: AES-256-GCM par blocs de 1 Mo. Chaque bloc a un nonce unique (préfixe aléatoire de 64 bits + compteur) et des données associées (index du bloc + drapeau « dernier bloc ») : un bloc modifié, retiré, permuté ou une troncature sont détectés. La clé (32 octets) est fournie par variable d’environnement et</w:t>
      </w:r>
      <w:r>
        <w:t xml:space="preserve"> </w:t>
      </w:r>
      <w:r>
        <w:rPr>
          <w:bCs/>
          <w:b/>
        </w:rPr>
        <w:t xml:space="preserve">doit être sauvegardée hors du serveur</w:t>
      </w:r>
      <w:r>
        <w:t xml:space="preserve"> </w:t>
      </w:r>
      <w:r>
        <w:t xml:space="preserve">; l’application refuse de démarrer en production sans elle.</w:t>
      </w:r>
    </w:p>
    <w:p>
      <w:pPr>
        <w:numPr>
          <w:ilvl w:val="0"/>
          <w:numId w:val="1005"/>
        </w:numPr>
        <w:pStyle w:val="Compact"/>
      </w:pPr>
      <w:r>
        <w:t xml:space="preserve">Les téléchargements et aperçus sont déchiffrés</w:t>
      </w:r>
      <w:r>
        <w:t xml:space="preserve"> </w:t>
      </w:r>
      <w:r>
        <w:rPr>
          <w:bCs/>
          <w:b/>
        </w:rPr>
        <w:t xml:space="preserve">en flux</w:t>
      </w:r>
      <w:r>
        <w:t xml:space="preserve"> </w:t>
      </w:r>
      <w:r>
        <w:t xml:space="preserve">: le fichier en clair n’est jamais écrit sur disque côté serveur (hors répertoire temporaire de conversion, supprimé aussitôt).</w:t>
      </w:r>
    </w:p>
    <w:bookmarkEnd w:id="51"/>
    <w:bookmarkStart w:id="52" w:name="analyse-des-menaces-stride-simplifiée"/>
    <w:p>
      <w:pPr>
        <w:pStyle w:val="Heading2"/>
      </w:pPr>
      <w:r>
        <w:t xml:space="preserve">8.4 Analyse des menaces (STRIDE simplifiée)</w:t>
      </w:r>
    </w:p>
    <w:tbl>
      <w:tblPr>
        <w:tblStyle w:val="Table"/>
        <w:tblW w:type="pct" w:w="5000"/>
        <w:tblLook w:firstRow="1" w:lastRow="0" w:firstColumn="0" w:lastColumn="0" w:noHBand="0" w:noVBand="0" w:val="0020"/>
        <w:jc w:val="start"/>
      </w:tblPr>
      <w:tblGrid>
        <w:gridCol w:w="1751"/>
        <w:gridCol w:w="2741"/>
        <w:gridCol w:w="3426"/>
      </w:tblGrid>
      <w:tr>
        <w:trPr>
          <w:tblHeader w:val="true"/>
        </w:trPr>
        <w:tc>
          <w:tcPr/>
          <w:p>
            <w:pPr>
              <w:pStyle w:val="Compact"/>
              <w:jc w:val="left"/>
            </w:pPr>
            <w:r>
              <w:t xml:space="preserve">Menace</w:t>
            </w:r>
          </w:p>
        </w:tc>
        <w:tc>
          <w:tcPr/>
          <w:p>
            <w:pPr>
              <w:pStyle w:val="Compact"/>
              <w:jc w:val="left"/>
            </w:pPr>
            <w:r>
              <w:t xml:space="preserve">Exemple</w:t>
            </w:r>
          </w:p>
        </w:tc>
        <w:tc>
          <w:tcPr/>
          <w:p>
            <w:pPr>
              <w:pStyle w:val="Compact"/>
              <w:jc w:val="left"/>
            </w:pPr>
            <w:r>
              <w:t xml:space="preserve">Contre-mesure</w:t>
            </w:r>
          </w:p>
        </w:tc>
      </w:tr>
      <w:tr>
        <w:tc>
          <w:tcPr/>
          <w:p>
            <w:pPr>
              <w:pStyle w:val="Compact"/>
              <w:jc w:val="left"/>
            </w:pPr>
            <w:r>
              <w:t xml:space="preserve">Usurpation</w:t>
            </w:r>
          </w:p>
        </w:tc>
        <w:tc>
          <w:tcPr/>
          <w:p>
            <w:pPr>
              <w:pStyle w:val="Compact"/>
              <w:jc w:val="left"/>
            </w:pPr>
            <w:r>
              <w:t xml:space="preserve">Vol de mot de passe, force brute</w:t>
            </w:r>
          </w:p>
        </w:tc>
        <w:tc>
          <w:tcPr/>
          <w:p>
            <w:pPr>
              <w:pStyle w:val="Compact"/>
              <w:jc w:val="left"/>
            </w:pPr>
            <w:r>
              <w:t xml:space="preserve">bcrypt, verrouillage, limitation de débit, JWT courts</w:t>
            </w:r>
          </w:p>
        </w:tc>
      </w:tr>
      <w:tr>
        <w:tc>
          <w:tcPr/>
          <w:p>
            <w:pPr>
              <w:pStyle w:val="Compact"/>
              <w:jc w:val="left"/>
            </w:pPr>
            <w:r>
              <w:t xml:space="preserve">Altération</w:t>
            </w:r>
          </w:p>
        </w:tc>
        <w:tc>
          <w:tcPr/>
          <w:p>
            <w:pPr>
              <w:pStyle w:val="Compact"/>
              <w:jc w:val="left"/>
            </w:pPr>
            <w:r>
              <w:t xml:space="preserve">Modification d’un fichier stocké</w:t>
            </w:r>
          </w:p>
        </w:tc>
        <w:tc>
          <w:tcPr/>
          <w:p>
            <w:pPr>
              <w:pStyle w:val="Compact"/>
              <w:jc w:val="left"/>
            </w:pPr>
            <w:r>
              <w:t xml:space="preserve">SHA-256 au dépôt + contrôle nocturne + authentification GCM</w:t>
            </w:r>
          </w:p>
        </w:tc>
      </w:tr>
      <w:tr>
        <w:tc>
          <w:tcPr/>
          <w:p>
            <w:pPr>
              <w:pStyle w:val="Compact"/>
              <w:jc w:val="left"/>
            </w:pPr>
            <w:r>
              <w:t xml:space="preserve">Répudiation</w:t>
            </w:r>
          </w:p>
        </w:tc>
        <w:tc>
          <w:tcPr/>
          <w:p>
            <w:pPr>
              <w:pStyle w:val="Compact"/>
              <w:jc w:val="left"/>
            </w:pPr>
            <w:r>
              <w:t xml:space="preserve">« Je n’ai pas supprimé ce document »</w:t>
            </w:r>
          </w:p>
        </w:tc>
        <w:tc>
          <w:tcPr/>
          <w:p>
            <w:pPr>
              <w:pStyle w:val="Compact"/>
              <w:jc w:val="left"/>
            </w:pPr>
            <w:r>
              <w:t xml:space="preserve">Journal chaîné inaltérable avec acteur, IP, agent utilisateur</w:t>
            </w:r>
          </w:p>
        </w:tc>
      </w:tr>
      <w:tr>
        <w:tc>
          <w:tcPr/>
          <w:p>
            <w:pPr>
              <w:pStyle w:val="Compact"/>
              <w:jc w:val="left"/>
            </w:pPr>
            <w:r>
              <w:t xml:space="preserve">Divulgation</w:t>
            </w:r>
          </w:p>
        </w:tc>
        <w:tc>
          <w:tcPr/>
          <w:p>
            <w:pPr>
              <w:pStyle w:val="Compact"/>
              <w:jc w:val="left"/>
            </w:pPr>
            <w:r>
              <w:t xml:space="preserve">Vol du bucket ou d’une sauvegarde</w:t>
            </w:r>
          </w:p>
        </w:tc>
        <w:tc>
          <w:tcPr/>
          <w:p>
            <w:pPr>
              <w:pStyle w:val="Compact"/>
              <w:jc w:val="left"/>
            </w:pPr>
            <w:r>
              <w:t xml:space="preserve">Chiffrement applicatif AES-256 ; clé hors stockage</w:t>
            </w:r>
          </w:p>
        </w:tc>
      </w:tr>
      <w:tr>
        <w:tc>
          <w:tcPr/>
          <w:p>
            <w:pPr>
              <w:pStyle w:val="Compact"/>
              <w:jc w:val="left"/>
            </w:pPr>
            <w:r>
              <w:t xml:space="preserve">Déni de service</w:t>
            </w:r>
          </w:p>
        </w:tc>
        <w:tc>
          <w:tcPr/>
          <w:p>
            <w:pPr>
              <w:pStyle w:val="Compact"/>
              <w:jc w:val="left"/>
            </w:pPr>
            <w:r>
              <w:t xml:space="preserve">Fichiers géants</w:t>
            </w:r>
          </w:p>
        </w:tc>
        <w:tc>
          <w:tcPr/>
          <w:p>
            <w:pPr>
              <w:pStyle w:val="Compact"/>
              <w:jc w:val="left"/>
            </w:pPr>
            <w:r>
              <w:t xml:space="preserve">Taille maximale (200 Mo), traitements asynchrones, workers multiples</w:t>
            </w:r>
          </w:p>
        </w:tc>
      </w:tr>
      <w:tr>
        <w:tc>
          <w:tcPr/>
          <w:p>
            <w:pPr>
              <w:pStyle w:val="Compact"/>
              <w:jc w:val="left"/>
            </w:pPr>
            <w:r>
              <w:t xml:space="preserve">Élévation de privilèges</w:t>
            </w:r>
          </w:p>
        </w:tc>
        <w:tc>
          <w:tcPr/>
          <w:p>
            <w:pPr>
              <w:pStyle w:val="Compact"/>
              <w:jc w:val="left"/>
            </w:pPr>
            <w:r>
              <w:t xml:space="preserve">Contributeur qui valide</w:t>
            </w:r>
          </w:p>
        </w:tc>
        <w:tc>
          <w:tcPr/>
          <w:p>
            <w:pPr>
              <w:pStyle w:val="Compact"/>
              <w:jc w:val="left"/>
            </w:pPr>
            <w:r>
              <w:t xml:space="preserve">RBAC serveur, séparation des tâches, clés d’API sans rôle admin</w:t>
            </w:r>
          </w:p>
        </w:tc>
      </w:tr>
      <w:tr>
        <w:tc>
          <w:tcPr/>
          <w:p>
            <w:pPr>
              <w:pStyle w:val="Compact"/>
              <w:jc w:val="left"/>
            </w:pPr>
            <w:r>
              <w:t xml:space="preserve">Injection / XSS</w:t>
            </w:r>
          </w:p>
        </w:tc>
        <w:tc>
          <w:tcPr/>
          <w:p>
            <w:pPr>
              <w:pStyle w:val="Compact"/>
              <w:jc w:val="left"/>
            </w:pPr>
            <w:r>
              <w:t xml:space="preserve">Texte OCR contenant du HTML</w:t>
            </w:r>
          </w:p>
        </w:tc>
        <w:tc>
          <w:tcPr/>
          <w:p>
            <w:pPr>
              <w:pStyle w:val="Compact"/>
              <w:jc w:val="left"/>
            </w:pPr>
            <w:r>
              <w:t xml:space="preserve">Requêtes paramétrées (ORM), échappement systématique côté client, CSP,</w:t>
            </w:r>
            <w:r>
              <w:t xml:space="preserve"> </w:t>
            </w:r>
            <w:r>
              <w:rPr>
                <w:rStyle w:val="VerbatimChar"/>
              </w:rPr>
              <w:t xml:space="preserve">nosniff</w:t>
            </w:r>
          </w:p>
        </w:tc>
      </w:tr>
      <w:tr>
        <w:tc>
          <w:tcPr/>
          <w:p>
            <w:pPr>
              <w:pStyle w:val="Compact"/>
              <w:jc w:val="left"/>
            </w:pPr>
            <w:r>
              <w:t xml:space="preserve">Traversée de chemin</w:t>
            </w:r>
          </w:p>
        </w:tc>
        <w:tc>
          <w:tcPr/>
          <w:p>
            <w:pPr>
              <w:pStyle w:val="Compact"/>
              <w:jc w:val="left"/>
            </w:pPr>
            <w:r>
              <w:t xml:space="preserve">Nom de fichier</w:t>
            </w:r>
            <w:r>
              <w:t xml:space="preserve"> </w:t>
            </w:r>
            <w:r>
              <w:rPr>
                <w:rStyle w:val="VerbatimChar"/>
              </w:rPr>
              <w:t xml:space="preserve">../../etc/passwd</w:t>
            </w:r>
          </w:p>
        </w:tc>
        <w:tc>
          <w:tcPr/>
          <w:p>
            <w:pPr>
              <w:pStyle w:val="Compact"/>
              <w:jc w:val="left"/>
            </w:pPr>
            <w:r>
              <w:t xml:space="preserve">Noms normalisés, clés de stockage générées (UUID), contrôle de racine</w:t>
            </w:r>
          </w:p>
        </w:tc>
      </w:tr>
    </w:tbl>
    <w:bookmarkEnd w:id="52"/>
    <w:bookmarkEnd w:id="53"/>
    <w:bookmarkStart w:id="56" w:name="conformité-normative"/>
    <w:p>
      <w:pPr>
        <w:pStyle w:val="Heading1"/>
      </w:pPr>
      <w:r>
        <w:t xml:space="preserve">9. Conformité normative</w:t>
      </w:r>
    </w:p>
    <w:bookmarkStart w:id="54" w:name="X1fc573f2da8ea2e6f7cc48d76ff2ba012f3d7e4"/>
    <w:p>
      <w:pPr>
        <w:pStyle w:val="Heading2"/>
      </w:pPr>
      <w:r>
        <w:t xml:space="preserve">9.1 ISO 15489 (gestion des documents d’activité)</w:t>
      </w:r>
    </w:p>
    <w:tbl>
      <w:tblPr>
        <w:tblStyle w:val="Table"/>
        <w:tblW w:type="pct" w:w="5000"/>
        <w:tblLook w:firstRow="1" w:lastRow="0" w:firstColumn="0" w:lastColumn="0" w:noHBand="0" w:noVBand="0" w:val="0020"/>
        <w:jc w:val="start"/>
      </w:tblPr>
      <w:tblGrid>
        <w:gridCol w:w="2828"/>
        <w:gridCol w:w="5091"/>
      </w:tblGrid>
      <w:tr>
        <w:trPr>
          <w:tblHeader w:val="true"/>
        </w:trPr>
        <w:tc>
          <w:tcPr/>
          <w:p>
            <w:pPr>
              <w:pStyle w:val="Compact"/>
              <w:jc w:val="left"/>
            </w:pPr>
            <w:r>
              <w:t xml:space="preserve">Caractéristique ISO 15489</w:t>
            </w:r>
          </w:p>
        </w:tc>
        <w:tc>
          <w:tcPr/>
          <w:p>
            <w:pPr>
              <w:pStyle w:val="Compact"/>
              <w:jc w:val="left"/>
            </w:pPr>
            <w:r>
              <w:t xml:space="preserve">Mise en œuvre</w:t>
            </w:r>
          </w:p>
        </w:tc>
      </w:tr>
      <w:tr>
        <w:tc>
          <w:tcPr/>
          <w:p>
            <w:pPr>
              <w:pStyle w:val="Compact"/>
              <w:jc w:val="left"/>
            </w:pPr>
            <w:r>
              <w:rPr>
                <w:bCs/>
                <w:b/>
              </w:rPr>
              <w:t xml:space="preserve">Authenticité</w:t>
            </w:r>
          </w:p>
        </w:tc>
        <w:tc>
          <w:tcPr/>
          <w:p>
            <w:pPr>
              <w:pStyle w:val="Compact"/>
              <w:jc w:val="left"/>
            </w:pPr>
            <w:r>
              <w:t xml:space="preserve">Identification de l’auteur, horodatage, piste d’audit complète</w:t>
            </w:r>
          </w:p>
        </w:tc>
      </w:tr>
      <w:tr>
        <w:tc>
          <w:tcPr/>
          <w:p>
            <w:pPr>
              <w:pStyle w:val="Compact"/>
              <w:jc w:val="left"/>
            </w:pPr>
            <w:r>
              <w:rPr>
                <w:bCs/>
                <w:b/>
              </w:rPr>
              <w:t xml:space="preserve">Fiabilité</w:t>
            </w:r>
          </w:p>
        </w:tc>
        <w:tc>
          <w:tcPr/>
          <w:p>
            <w:pPr>
              <w:pStyle w:val="Compact"/>
              <w:jc w:val="left"/>
            </w:pPr>
            <w:r>
              <w:t xml:space="preserve">Fiche de métadonnées obligatoire, circuit de validation, séparation des tâches</w:t>
            </w:r>
          </w:p>
        </w:tc>
      </w:tr>
      <w:tr>
        <w:tc>
          <w:tcPr/>
          <w:p>
            <w:pPr>
              <w:pStyle w:val="Compact"/>
              <w:jc w:val="left"/>
            </w:pPr>
            <w:r>
              <w:rPr>
                <w:bCs/>
                <w:b/>
              </w:rPr>
              <w:t xml:space="preserve">Intégrité</w:t>
            </w:r>
          </w:p>
        </w:tc>
        <w:tc>
          <w:tcPr/>
          <w:p>
            <w:pPr>
              <w:pStyle w:val="Compact"/>
              <w:jc w:val="left"/>
            </w:pPr>
            <w:r>
              <w:t xml:space="preserve">Empreintes SHA-256, versions figées après validation, chiffrement authentifié, journal inaltérable</w:t>
            </w:r>
          </w:p>
        </w:tc>
      </w:tr>
      <w:tr>
        <w:tc>
          <w:tcPr/>
          <w:p>
            <w:pPr>
              <w:pStyle w:val="Compact"/>
              <w:jc w:val="left"/>
            </w:pPr>
            <w:r>
              <w:rPr>
                <w:bCs/>
                <w:b/>
              </w:rPr>
              <w:t xml:space="preserve">Exploitabilité</w:t>
            </w:r>
          </w:p>
        </w:tc>
        <w:tc>
          <w:tcPr/>
          <w:p>
            <w:pPr>
              <w:pStyle w:val="Compact"/>
              <w:jc w:val="left"/>
            </w:pPr>
            <w:r>
              <w:t xml:space="preserve">Plan de classement, recherche multicritère et plein texte, format pérenne PDF/A, aperçu en ligne</w:t>
            </w:r>
          </w:p>
        </w:tc>
      </w:tr>
      <w:tr>
        <w:tc>
          <w:tcPr/>
          <w:p>
            <w:pPr>
              <w:pStyle w:val="Compact"/>
              <w:jc w:val="left"/>
            </w:pPr>
            <w:r>
              <w:t xml:space="preserve">Règles de conservation</w:t>
            </w:r>
          </w:p>
        </w:tc>
        <w:tc>
          <w:tcPr/>
          <w:p>
            <w:pPr>
              <w:pStyle w:val="Compact"/>
              <w:jc w:val="left"/>
            </w:pPr>
            <w:r>
              <w:t xml:space="preserve">DUA et sort final par rubrique, bordereau, élimination tracée, gel juridique</w:t>
            </w:r>
          </w:p>
        </w:tc>
      </w:tr>
    </w:tbl>
    <w:bookmarkEnd w:id="54"/>
    <w:bookmarkStart w:id="55" w:name="iso-14721-modèle-oais"/>
    <w:p>
      <w:pPr>
        <w:pStyle w:val="Heading2"/>
      </w:pPr>
      <w:r>
        <w:t xml:space="preserve">9.2 ISO 14721 (modèle OAIS)</w:t>
      </w:r>
    </w:p>
    <w:tbl>
      <w:tblPr>
        <w:tblStyle w:val="Table"/>
        <w:tblW w:type="pct" w:w="5000"/>
        <w:tblLook w:firstRow="1" w:lastRow="0" w:firstColumn="0" w:lastColumn="0" w:noHBand="0" w:noVBand="0" w:val="0020"/>
        <w:jc w:val="start"/>
      </w:tblPr>
      <w:tblGrid>
        <w:gridCol w:w="3677"/>
        <w:gridCol w:w="4242"/>
      </w:tblGrid>
      <w:tr>
        <w:trPr>
          <w:tblHeader w:val="true"/>
        </w:trPr>
        <w:tc>
          <w:tcPr/>
          <w:p>
            <w:pPr>
              <w:pStyle w:val="Compact"/>
              <w:jc w:val="left"/>
            </w:pPr>
            <w:r>
              <w:t xml:space="preserve">Entité fonctionnelle OAIS</w:t>
            </w:r>
          </w:p>
        </w:tc>
        <w:tc>
          <w:tcPr/>
          <w:p>
            <w:pPr>
              <w:pStyle w:val="Compact"/>
              <w:jc w:val="left"/>
            </w:pPr>
            <w:r>
              <w:t xml:space="preserve">Composant SIGED</w:t>
            </w:r>
          </w:p>
        </w:tc>
      </w:tr>
      <w:tr>
        <w:tc>
          <w:tcPr/>
          <w:p>
            <w:pPr>
              <w:pStyle w:val="Compact"/>
              <w:jc w:val="left"/>
            </w:pPr>
            <w:r>
              <w:t xml:space="preserve">Entrées (</w:t>
            </w:r>
            <w:r>
              <w:rPr>
                <w:iCs/>
                <w:i/>
              </w:rPr>
              <w:t xml:space="preserve">Ingest</w:t>
            </w:r>
            <w:r>
              <w:t xml:space="preserve">) — SIP</w:t>
            </w:r>
          </w:p>
        </w:tc>
        <w:tc>
          <w:tcPr/>
          <w:p>
            <w:pPr>
              <w:pStyle w:val="Compact"/>
              <w:jc w:val="left"/>
            </w:pPr>
            <w:r>
              <w:t xml:space="preserve">Dépôt unitaire, lot ZIP + manifeste, hot folder, e-mail, API ; contrôle de doublon, empreinte</w:t>
            </w:r>
          </w:p>
        </w:tc>
      </w:tr>
      <w:tr>
        <w:tc>
          <w:tcPr/>
          <w:p>
            <w:pPr>
              <w:pStyle w:val="Compact"/>
              <w:jc w:val="left"/>
            </w:pPr>
            <w:r>
              <w:t xml:space="preserve">Stockage (</w:t>
            </w:r>
            <w:r>
              <w:rPr>
                <w:iCs/>
                <w:i/>
              </w:rPr>
              <w:t xml:space="preserve">Archival Storage</w:t>
            </w:r>
            <w:r>
              <w:t xml:space="preserve">)</w:t>
            </w:r>
          </w:p>
        </w:tc>
        <w:tc>
          <w:tcPr/>
          <w:p>
            <w:pPr>
              <w:pStyle w:val="Compact"/>
              <w:jc w:val="left"/>
            </w:pPr>
            <w:r>
              <w:t xml:space="preserve">Stockage chiffré, contrôle d’intégrité périodique, sauvegardes</w:t>
            </w:r>
          </w:p>
        </w:tc>
      </w:tr>
      <w:tr>
        <w:tc>
          <w:tcPr/>
          <w:p>
            <w:pPr>
              <w:pStyle w:val="Compact"/>
              <w:jc w:val="left"/>
            </w:pPr>
            <w:r>
              <w:t xml:space="preserve">Gestion des données (</w:t>
            </w:r>
            <w:r>
              <w:rPr>
                <w:iCs/>
                <w:i/>
              </w:rPr>
              <w:t xml:space="preserve">Data Management</w:t>
            </w:r>
            <w:r>
              <w:t xml:space="preserve">)</w:t>
            </w:r>
          </w:p>
        </w:tc>
        <w:tc>
          <w:tcPr/>
          <w:p>
            <w:pPr>
              <w:pStyle w:val="Compact"/>
              <w:jc w:val="left"/>
            </w:pPr>
            <w:r>
              <w:t xml:space="preserve">PostgreSQL : métadonnées descriptives, index</w:t>
            </w:r>
          </w:p>
        </w:tc>
      </w:tr>
      <w:tr>
        <w:tc>
          <w:tcPr/>
          <w:p>
            <w:pPr>
              <w:pStyle w:val="Compact"/>
              <w:jc w:val="left"/>
            </w:pPr>
            <w:r>
              <w:t xml:space="preserve">Administration</w:t>
            </w:r>
          </w:p>
        </w:tc>
        <w:tc>
          <w:tcPr/>
          <w:p>
            <w:pPr>
              <w:pStyle w:val="Compact"/>
              <w:jc w:val="left"/>
            </w:pPr>
            <w:r>
              <w:t xml:space="preserve">Rôles, plan de classement, supervision, rapports d’intégrité</w:t>
            </w:r>
          </w:p>
        </w:tc>
      </w:tr>
      <w:tr>
        <w:tc>
          <w:tcPr/>
          <w:p>
            <w:pPr>
              <w:pStyle w:val="Compact"/>
              <w:jc w:val="left"/>
            </w:pPr>
            <w:r>
              <w:t xml:space="preserve">Planification de la pérennisation</w:t>
            </w:r>
          </w:p>
        </w:tc>
        <w:tc>
          <w:tcPr/>
          <w:p>
            <w:pPr>
              <w:pStyle w:val="Compact"/>
              <w:jc w:val="left"/>
            </w:pPr>
            <w:r>
              <w:t xml:space="preserve">Migration systématique vers PDF/A-2b, conservation de l’original</w:t>
            </w:r>
          </w:p>
        </w:tc>
      </w:tr>
      <w:tr>
        <w:tc>
          <w:tcPr/>
          <w:p>
            <w:pPr>
              <w:pStyle w:val="Compact"/>
              <w:jc w:val="left"/>
            </w:pPr>
            <w:r>
              <w:t xml:space="preserve">Accès (</w:t>
            </w:r>
            <w:r>
              <w:rPr>
                <w:iCs/>
                <w:i/>
              </w:rPr>
              <w:t xml:space="preserve">Access</w:t>
            </w:r>
            <w:r>
              <w:t xml:space="preserve">) — DIP</w:t>
            </w:r>
          </w:p>
        </w:tc>
        <w:tc>
          <w:tcPr/>
          <w:p>
            <w:pPr>
              <w:pStyle w:val="Compact"/>
              <w:jc w:val="left"/>
            </w:pPr>
            <w:r>
              <w:t xml:space="preserve">Recherche, aperçu, téléchargement,</w:t>
            </w:r>
            <w:r>
              <w:t xml:space="preserve"> </w:t>
            </w:r>
            <w:r>
              <w:rPr>
                <w:bCs/>
                <w:b/>
              </w:rPr>
              <w:t xml:space="preserve">export AIP</w:t>
            </w:r>
          </w:p>
        </w:tc>
      </w:tr>
    </w:tbl>
    <w:p>
      <w:pPr>
        <w:pStyle w:val="BodyText"/>
      </w:pPr>
      <w:r>
        <w:t xml:space="preserve">Le</w:t>
      </w:r>
      <w:r>
        <w:t xml:space="preserve"> </w:t>
      </w:r>
      <w:r>
        <w:rPr>
          <w:bCs/>
          <w:b/>
        </w:rPr>
        <w:t xml:space="preserve">paquet AIP</w:t>
      </w:r>
      <w:r>
        <w:t xml:space="preserve"> </w:t>
      </w:r>
      <w:r>
        <w:t xml:space="preserve">exporté (</w:t>
      </w:r>
      <w:r>
        <w:rPr>
          <w:rStyle w:val="VerbatimChar"/>
        </w:rPr>
        <w:t xml:space="preserve">GET /api/documents/{id}/aip</w:t>
      </w:r>
      <w:r>
        <w:t xml:space="preserve">) suit la structure BagIt (RFC 8493) : toutes les versions (original + PDF/A), un manifeste SHA-256, la description (</w:t>
      </w:r>
      <w:r>
        <w:rPr>
          <w:rStyle w:val="VerbatimChar"/>
        </w:rPr>
        <w:t xml:space="preserve">description.json</w:t>
      </w:r>
      <w:r>
        <w:t xml:space="preserve">) et l’information de pérennisation (</w:t>
      </w:r>
      <w:r>
        <w:rPr>
          <w:rStyle w:val="VerbatimChar"/>
        </w:rPr>
        <w:t xml:space="preserve">pdi.json</w:t>
      </w:r>
      <w:r>
        <w:t xml:space="preserve"> </w:t>
      </w:r>
      <w:r>
        <w:t xml:space="preserve">: référence, contexte, intégrité, provenance tirée du journal d’audit).</w:t>
      </w:r>
    </w:p>
    <w:bookmarkEnd w:id="55"/>
    <w:bookmarkEnd w:id="56"/>
    <w:bookmarkStart w:id="61" w:name="performance-disponibilité-sauvegardes"/>
    <w:p>
      <w:pPr>
        <w:pStyle w:val="Heading1"/>
      </w:pPr>
      <w:r>
        <w:t xml:space="preserve">10. Performance, disponibilité, sauvegardes</w:t>
      </w:r>
    </w:p>
    <w:bookmarkStart w:id="57" w:name="temps-de-réponse-2-s"/>
    <w:p>
      <w:pPr>
        <w:pStyle w:val="Heading2"/>
      </w:pPr>
      <w:r>
        <w:t xml:space="preserve">10.1 Temps de réponse (&lt; 2 s)</w:t>
      </w:r>
    </w:p>
    <w:tbl>
      <w:tblPr>
        <w:tblStyle w:val="Table"/>
        <w:tblW w:type="pct" w:w="5000"/>
        <w:tblLook w:firstRow="1" w:lastRow="0" w:firstColumn="0" w:lastColumn="0" w:noHBand="0" w:noVBand="0" w:val="0020"/>
        <w:jc w:val="start"/>
      </w:tblPr>
      <w:tblGrid>
        <w:gridCol w:w="6252"/>
        <w:gridCol w:w="1667"/>
      </w:tblGrid>
      <w:tr>
        <w:trPr>
          <w:tblHeader w:val="true"/>
        </w:trPr>
        <w:tc>
          <w:tcPr/>
          <w:p>
            <w:pPr>
              <w:pStyle w:val="Compact"/>
              <w:jc w:val="left"/>
            </w:pPr>
            <w:r>
              <w:t xml:space="preserve">Mesure (2 000 notices avec texte, PostgreSQL 16)</w:t>
            </w:r>
          </w:p>
        </w:tc>
        <w:tc>
          <w:tcPr/>
          <w:p>
            <w:pPr>
              <w:pStyle w:val="Compact"/>
              <w:jc w:val="left"/>
            </w:pPr>
            <w:r>
              <w:t xml:space="preserve">Temps</w:t>
            </w:r>
          </w:p>
        </w:tc>
      </w:tr>
      <w:tr>
        <w:tc>
          <w:tcPr/>
          <w:p>
            <w:pPr>
              <w:pStyle w:val="Compact"/>
              <w:jc w:val="left"/>
            </w:pPr>
            <w:r>
              <w:t xml:space="preserve">Recherche plein texte (200 résultats, classement + extraits)</w:t>
            </w:r>
          </w:p>
        </w:tc>
        <w:tc>
          <w:tcPr/>
          <w:p>
            <w:pPr>
              <w:pStyle w:val="Compact"/>
              <w:jc w:val="left"/>
            </w:pPr>
            <w:r>
              <w:t xml:space="preserve">442 ms</w:t>
            </w:r>
          </w:p>
        </w:tc>
      </w:tr>
      <w:tr>
        <w:tc>
          <w:tcPr/>
          <w:p>
            <w:pPr>
              <w:pStyle w:val="Compact"/>
              <w:jc w:val="left"/>
            </w:pPr>
            <w:r>
              <w:t xml:space="preserve">Critères type + date</w:t>
            </w:r>
          </w:p>
        </w:tc>
        <w:tc>
          <w:tcPr/>
          <w:p>
            <w:pPr>
              <w:pStyle w:val="Compact"/>
              <w:jc w:val="left"/>
            </w:pPr>
            <w:r>
              <w:t xml:space="preserve">17 ms</w:t>
            </w:r>
          </w:p>
        </w:tc>
      </w:tr>
      <w:tr>
        <w:tc>
          <w:tcPr/>
          <w:p>
            <w:pPr>
              <w:pStyle w:val="Compact"/>
              <w:jc w:val="left"/>
            </w:pPr>
            <w:r>
              <w:t xml:space="preserve">Critère auteur + tri</w:t>
            </w:r>
          </w:p>
        </w:tc>
        <w:tc>
          <w:tcPr/>
          <w:p>
            <w:pPr>
              <w:pStyle w:val="Compact"/>
              <w:jc w:val="left"/>
            </w:pPr>
            <w:r>
              <w:t xml:space="preserve">41 ms</w:t>
            </w:r>
          </w:p>
        </w:tc>
      </w:tr>
      <w:tr>
        <w:tc>
          <w:tcPr/>
          <w:p>
            <w:pPr>
              <w:pStyle w:val="Compact"/>
              <w:jc w:val="left"/>
            </w:pPr>
            <w:r>
              <w:t xml:space="preserve">Liste paginée sans critère</w:t>
            </w:r>
          </w:p>
        </w:tc>
        <w:tc>
          <w:tcPr/>
          <w:p>
            <w:pPr>
              <w:pStyle w:val="Compact"/>
              <w:jc w:val="left"/>
            </w:pPr>
            <w:r>
              <w:t xml:space="preserve">33 ms</w:t>
            </w:r>
          </w:p>
        </w:tc>
      </w:tr>
    </w:tbl>
    <w:p>
      <w:pPr>
        <w:pStyle w:val="BodyText"/>
      </w:pPr>
      <w:r>
        <w:t xml:space="preserve">Leviers : index GIN/trigrammes/B-tree, pagination obligatoire (100 résultats au plus par page), traitements lourds asynchrones, déchiffrement en flux, pool de connexions (10 + 20). Chaque réponse porte l’en-tête</w:t>
      </w:r>
      <w:r>
        <w:t xml:space="preserve"> </w:t>
      </w:r>
      <w:r>
        <w:rPr>
          <w:rStyle w:val="VerbatimChar"/>
        </w:rPr>
        <w:t xml:space="preserve">X-Process-Time-ms</w:t>
      </w:r>
      <w:r>
        <w:t xml:space="preserve"> </w:t>
      </w:r>
      <w:r>
        <w:t xml:space="preserve">et toute requête de plus de 2 s est journalisée : l’exigence est</w:t>
      </w:r>
      <w:r>
        <w:t xml:space="preserve"> </w:t>
      </w:r>
      <w:r>
        <w:rPr>
          <w:bCs/>
          <w:b/>
        </w:rPr>
        <w:t xml:space="preserve">mesurée en continu</w:t>
      </w:r>
      <w:r>
        <w:t xml:space="preserve">. Un test automatisé échoue si la recherche dépasse 2 s.</w:t>
      </w:r>
    </w:p>
    <w:bookmarkEnd w:id="57"/>
    <w:bookmarkStart w:id="58" w:name="Xab8dcf2ca1ec1d25ff88d6416e7d8369bd36680"/>
    <w:p>
      <w:pPr>
        <w:pStyle w:val="Heading2"/>
      </w:pPr>
      <w:r>
        <w:t xml:space="preserve">10.2 Disponibilité 99,9 % (≈ 8 h 45 d’arrêt par an au plus)</w:t>
      </w:r>
    </w:p>
    <w:p>
      <w:pPr>
        <w:pStyle w:val="FirstParagraph"/>
      </w:pPr>
      <w:r>
        <w:t xml:space="preserve">La composition Docker livrée cible un serveur unique (redémarrage automatique, sondes de santé). Pour l’objectif 99,9 %, l’architecture cible de production est la suivante :</w:t>
      </w:r>
    </w:p>
    <w:p>
      <w:pPr>
        <w:numPr>
          <w:ilvl w:val="0"/>
          <w:numId w:val="1006"/>
        </w:numPr>
        <w:pStyle w:val="Compact"/>
      </w:pPr>
      <w:r>
        <w:rPr>
          <w:bCs/>
          <w:b/>
        </w:rPr>
        <w:t xml:space="preserve">API sans état</w:t>
      </w:r>
      <w:r>
        <w:t xml:space="preserve"> </w:t>
      </w:r>
      <w:r>
        <w:t xml:space="preserve">: au moins 2 instances derrière Nginx ou un répartiteur (Keepalived + adresse IP virtuelle) ; mise à jour progressive sans interruption.</w:t>
      </w:r>
    </w:p>
    <w:p>
      <w:pPr>
        <w:numPr>
          <w:ilvl w:val="0"/>
          <w:numId w:val="1006"/>
        </w:numPr>
        <w:pStyle w:val="Compact"/>
      </w:pPr>
      <w:r>
        <w:rPr>
          <w:bCs/>
          <w:b/>
        </w:rPr>
        <w:t xml:space="preserve">PostgreSQL</w:t>
      </w:r>
      <w:r>
        <w:t xml:space="preserve"> </w:t>
      </w:r>
      <w:r>
        <w:t xml:space="preserve">en réplication en continu avec bascule automatique (Patroni ou équivalent) ; réplique en lecture pour les recherches lourdes.</w:t>
      </w:r>
    </w:p>
    <w:p>
      <w:pPr>
        <w:numPr>
          <w:ilvl w:val="0"/>
          <w:numId w:val="1006"/>
        </w:numPr>
        <w:pStyle w:val="Compact"/>
      </w:pPr>
      <w:r>
        <w:rPr>
          <w:bCs/>
          <w:b/>
        </w:rPr>
        <w:t xml:space="preserve">MinIO distribué</w:t>
      </w:r>
      <w:r>
        <w:t xml:space="preserve"> </w:t>
      </w:r>
      <w:r>
        <w:t xml:space="preserve">(4 nœuds minimum, codage à effacement) : tolère la perte d’un nœud ou de disques.</w:t>
      </w:r>
    </w:p>
    <w:p>
      <w:pPr>
        <w:numPr>
          <w:ilvl w:val="0"/>
          <w:numId w:val="1006"/>
        </w:numPr>
        <w:pStyle w:val="Compact"/>
      </w:pPr>
      <w:r>
        <w:rPr>
          <w:bCs/>
          <w:b/>
        </w:rPr>
        <w:t xml:space="preserve">Supervision</w:t>
      </w:r>
      <w:r>
        <w:t xml:space="preserve"> </w:t>
      </w:r>
      <w:r>
        <w:t xml:space="preserve">: sonde</w:t>
      </w:r>
      <w:r>
        <w:t xml:space="preserve"> </w:t>
      </w:r>
      <w:r>
        <w:rPr>
          <w:rStyle w:val="VerbatimChar"/>
        </w:rPr>
        <w:t xml:space="preserve">/health</w:t>
      </w:r>
      <w:r>
        <w:t xml:space="preserve"> </w:t>
      </w:r>
      <w:r>
        <w:t xml:space="preserve">(base + stockage), alertes sur les requêtes lentes, échecs d’intégrité (webhook</w:t>
      </w:r>
      <w:r>
        <w:t xml:space="preserve"> </w:t>
      </w:r>
      <w:r>
        <w:rPr>
          <w:rStyle w:val="VerbatimChar"/>
        </w:rPr>
        <w:t xml:space="preserve">integrity.failure</w:t>
      </w:r>
      <w:r>
        <w:t xml:space="preserve">) et échecs de conversion.</w:t>
      </w:r>
    </w:p>
    <w:bookmarkEnd w:id="58"/>
    <w:bookmarkStart w:id="59" w:name="sauvegardes-quotidiennes"/>
    <w:p>
      <w:pPr>
        <w:pStyle w:val="Heading2"/>
      </w:pPr>
      <w:r>
        <w:t xml:space="preserve">10.3 Sauvegardes quotidiennes</w:t>
      </w:r>
    </w:p>
    <w:p>
      <w:pPr>
        <w:numPr>
          <w:ilvl w:val="0"/>
          <w:numId w:val="1007"/>
        </w:numPr>
        <w:pStyle w:val="Compact"/>
      </w:pPr>
      <w:r>
        <w:t xml:space="preserve">Conteneur</w:t>
      </w:r>
      <w:r>
        <w:t xml:space="preserve"> </w:t>
      </w:r>
      <w:r>
        <w:rPr>
          <w:rStyle w:val="VerbatimChar"/>
        </w:rPr>
        <w:t xml:space="preserve">backup</w:t>
      </w:r>
      <w:r>
        <w:t xml:space="preserve"> </w:t>
      </w:r>
      <w:r>
        <w:t xml:space="preserve">: chaque nuit à 01:00,</w:t>
      </w:r>
      <w:r>
        <w:t xml:space="preserve"> </w:t>
      </w:r>
      <w:r>
        <w:rPr>
          <w:rStyle w:val="VerbatimChar"/>
        </w:rPr>
        <w:t xml:space="preserve">pg_dump</w:t>
      </w:r>
      <w:r>
        <w:t xml:space="preserve"> </w:t>
      </w:r>
      <w:r>
        <w:t xml:space="preserve">(format personnalisé) + archive des objets MinIO (déjà chiffrés), fichier</w:t>
      </w:r>
      <w:r>
        <w:t xml:space="preserve"> </w:t>
      </w:r>
      <w:r>
        <w:rPr>
          <w:rStyle w:val="VerbatimChar"/>
        </w:rPr>
        <w:t xml:space="preserve">SHA256SUMS</w:t>
      </w:r>
      <w:r>
        <w:t xml:space="preserve">, rétention de 30 jours.</w:t>
      </w:r>
    </w:p>
    <w:p>
      <w:pPr>
        <w:numPr>
          <w:ilvl w:val="0"/>
          <w:numId w:val="1007"/>
        </w:numPr>
        <w:pStyle w:val="Compact"/>
      </w:pPr>
      <w:r>
        <w:t xml:space="preserve">Copie hors site recommandée (règle 3-2-1) ;</w:t>
      </w:r>
      <w:r>
        <w:t xml:space="preserve"> </w:t>
      </w:r>
      <w:r>
        <w:rPr>
          <w:bCs/>
          <w:b/>
        </w:rPr>
        <w:t xml:space="preserve">la clé AES est sauvegardée séparément</w:t>
      </w:r>
      <w:r>
        <w:t xml:space="preserve"> </w:t>
      </w:r>
      <w:r>
        <w:t xml:space="preserve">(coffre-fort, enveloppe scellée).</w:t>
      </w:r>
    </w:p>
    <w:p>
      <w:pPr>
        <w:numPr>
          <w:ilvl w:val="0"/>
          <w:numId w:val="1007"/>
        </w:numPr>
        <w:pStyle w:val="Compact"/>
      </w:pPr>
      <w:r>
        <w:t xml:space="preserve">Restauration :</w:t>
      </w:r>
      <w:r>
        <w:t xml:space="preserve"> </w:t>
      </w:r>
      <w:r>
        <w:rPr>
          <w:rStyle w:val="VerbatimChar"/>
        </w:rPr>
        <w:t xml:space="preserve">deploy/scripts/restore.sh</w:t>
      </w:r>
      <w:r>
        <w:t xml:space="preserve"> </w:t>
      </w:r>
      <w:r>
        <w:t xml:space="preserve">vérifie les empreintes, restaure la base ; un contrôle d’intégrité complet valide ensuite la cohérence base ↔ fichiers.</w:t>
      </w:r>
    </w:p>
    <w:p>
      <w:pPr>
        <w:numPr>
          <w:ilvl w:val="0"/>
          <w:numId w:val="1007"/>
        </w:numPr>
        <w:pStyle w:val="Compact"/>
      </w:pPr>
      <w:r>
        <w:t xml:space="preserve">Objectifs indicatifs : perte de données maximale (RPO) 24 h, ramenée à quelques minutes avec l’archivage continu des journaux PostgreSQL (WAL) ; reprise (RTO) inférieure à 4 h.</w:t>
      </w:r>
    </w:p>
    <w:bookmarkEnd w:id="59"/>
    <w:bookmarkStart w:id="60" w:name="ordonnancement"/>
    <w:p>
      <w:pPr>
        <w:pStyle w:val="Heading2"/>
      </w:pPr>
      <w:r>
        <w:t xml:space="preserve">10.4 Ordonnancement</w:t>
      </w:r>
    </w:p>
    <w:tbl>
      <w:tblPr>
        <w:tblStyle w:val="Table"/>
        <w:tblW w:type="pct" w:w="5000"/>
        <w:tblLook w:firstRow="1" w:lastRow="0" w:firstColumn="0" w:lastColumn="0" w:noHBand="0" w:noVBand="0" w:val="0020"/>
        <w:jc w:val="start"/>
      </w:tblPr>
      <w:tblGrid>
        <w:gridCol w:w="2436"/>
        <w:gridCol w:w="5483"/>
      </w:tblGrid>
      <w:tr>
        <w:trPr>
          <w:tblHeader w:val="true"/>
        </w:trPr>
        <w:tc>
          <w:tcPr/>
          <w:p>
            <w:pPr>
              <w:pStyle w:val="Compact"/>
              <w:jc w:val="left"/>
            </w:pPr>
            <w:r>
              <w:t xml:space="preserve">Heure</w:t>
            </w:r>
          </w:p>
        </w:tc>
        <w:tc>
          <w:tcPr/>
          <w:p>
            <w:pPr>
              <w:pStyle w:val="Compact"/>
              <w:jc w:val="left"/>
            </w:pPr>
            <w:r>
              <w:t xml:space="preserve">Tâche</w:t>
            </w:r>
          </w:p>
        </w:tc>
      </w:tr>
      <w:tr>
        <w:tc>
          <w:tcPr/>
          <w:p>
            <w:pPr>
              <w:pStyle w:val="Compact"/>
              <w:jc w:val="left"/>
            </w:pPr>
            <w:r>
              <w:t xml:space="preserve">Toutes les minutes</w:t>
            </w:r>
          </w:p>
        </w:tc>
        <w:tc>
          <w:tcPr/>
          <w:p>
            <w:pPr>
              <w:pStyle w:val="Compact"/>
              <w:jc w:val="left"/>
            </w:pPr>
            <w:r>
              <w:t xml:space="preserve">Capture du dossier partagé</w:t>
            </w:r>
          </w:p>
        </w:tc>
      </w:tr>
      <w:tr>
        <w:tc>
          <w:tcPr/>
          <w:p>
            <w:pPr>
              <w:pStyle w:val="Compact"/>
              <w:jc w:val="left"/>
            </w:pPr>
            <w:r>
              <w:t xml:space="preserve">Toutes les 5 minutes</w:t>
            </w:r>
          </w:p>
        </w:tc>
        <w:tc>
          <w:tcPr/>
          <w:p>
            <w:pPr>
              <w:pStyle w:val="Compact"/>
              <w:jc w:val="left"/>
            </w:pPr>
            <w:r>
              <w:t xml:space="preserve">Capture de la messagerie (si configurée)</w:t>
            </w:r>
          </w:p>
        </w:tc>
      </w:tr>
      <w:tr>
        <w:tc>
          <w:tcPr/>
          <w:p>
            <w:pPr>
              <w:pStyle w:val="Compact"/>
              <w:jc w:val="left"/>
            </w:pPr>
            <w:r>
              <w:t xml:space="preserve">01:00</w:t>
            </w:r>
          </w:p>
        </w:tc>
        <w:tc>
          <w:tcPr/>
          <w:p>
            <w:pPr>
              <w:pStyle w:val="Compact"/>
              <w:jc w:val="left"/>
            </w:pPr>
            <w:r>
              <w:t xml:space="preserve">Sauvegarde</w:t>
            </w:r>
          </w:p>
        </w:tc>
      </w:tr>
      <w:tr>
        <w:tc>
          <w:tcPr/>
          <w:p>
            <w:pPr>
              <w:pStyle w:val="Compact"/>
              <w:jc w:val="left"/>
            </w:pPr>
            <w:r>
              <w:t xml:space="preserve">01:30</w:t>
            </w:r>
          </w:p>
        </w:tc>
        <w:tc>
          <w:tcPr/>
          <w:p>
            <w:pPr>
              <w:pStyle w:val="Compact"/>
              <w:jc w:val="left"/>
            </w:pPr>
            <w:r>
              <w:t xml:space="preserve">Reprise des conversions en attente ou en échec</w:t>
            </w:r>
          </w:p>
        </w:tc>
      </w:tr>
      <w:tr>
        <w:tc>
          <w:tcPr/>
          <w:p>
            <w:pPr>
              <w:pStyle w:val="Compact"/>
              <w:jc w:val="left"/>
            </w:pPr>
            <w:r>
              <w:t xml:space="preserve">02:00</w:t>
            </w:r>
          </w:p>
        </w:tc>
        <w:tc>
          <w:tcPr/>
          <w:p>
            <w:pPr>
              <w:pStyle w:val="Compact"/>
              <w:jc w:val="left"/>
            </w:pPr>
            <w:r>
              <w:t xml:space="preserve">Contrôle d’intégrité SHA-256 de tous les fichiers</w:t>
            </w:r>
          </w:p>
        </w:tc>
      </w:tr>
      <w:tr>
        <w:tc>
          <w:tcPr/>
          <w:p>
            <w:pPr>
              <w:pStyle w:val="Compact"/>
              <w:jc w:val="left"/>
            </w:pPr>
            <w:r>
              <w:t xml:space="preserve">03:00</w:t>
            </w:r>
          </w:p>
        </w:tc>
        <w:tc>
          <w:tcPr/>
          <w:p>
            <w:pPr>
              <w:pStyle w:val="Compact"/>
              <w:jc w:val="left"/>
            </w:pPr>
            <w:r>
              <w:t xml:space="preserve">DUA : bordereau (et exécution si mode automatique)</w:t>
            </w:r>
          </w:p>
        </w:tc>
      </w:tr>
    </w:tbl>
    <w:bookmarkEnd w:id="60"/>
    <w:bookmarkEnd w:id="61"/>
    <w:bookmarkStart w:id="62" w:name="interopérabilité"/>
    <w:p>
      <w:pPr>
        <w:pStyle w:val="Heading1"/>
      </w:pPr>
      <w:r>
        <w:t xml:space="preserve">11. Interopérabilité</w:t>
      </w:r>
    </w:p>
    <w:tbl>
      <w:tblPr>
        <w:tblStyle w:val="Table"/>
        <w:tblW w:type="pct" w:w="5000"/>
        <w:tblLook w:firstRow="1" w:lastRow="0" w:firstColumn="0" w:lastColumn="0" w:noHBand="0" w:noVBand="0" w:val="0020"/>
        <w:jc w:val="start"/>
      </w:tblPr>
      <w:tblGrid>
        <w:gridCol w:w="1900"/>
        <w:gridCol w:w="1267"/>
        <w:gridCol w:w="4752"/>
      </w:tblGrid>
      <w:tr>
        <w:trPr>
          <w:tblHeader w:val="true"/>
        </w:trPr>
        <w:tc>
          <w:tcPr/>
          <w:p>
            <w:pPr>
              <w:pStyle w:val="Compact"/>
              <w:jc w:val="left"/>
            </w:pPr>
            <w:r>
              <w:t xml:space="preserve">Canal</w:t>
            </w:r>
          </w:p>
        </w:tc>
        <w:tc>
          <w:tcPr/>
          <w:p>
            <w:pPr>
              <w:pStyle w:val="Compact"/>
              <w:jc w:val="left"/>
            </w:pPr>
            <w:r>
              <w:t xml:space="preserve">Sens</w:t>
            </w:r>
          </w:p>
        </w:tc>
        <w:tc>
          <w:tcPr/>
          <w:p>
            <w:pPr>
              <w:pStyle w:val="Compact"/>
              <w:jc w:val="left"/>
            </w:pPr>
            <w:r>
              <w:t xml:space="preserve">Description</w:t>
            </w:r>
          </w:p>
        </w:tc>
      </w:tr>
      <w:tr>
        <w:tc>
          <w:tcPr/>
          <w:p>
            <w:pPr>
              <w:pStyle w:val="Compact"/>
              <w:jc w:val="left"/>
            </w:pPr>
            <w:r>
              <w:t xml:space="preserve">API REST + OpenAPI</w:t>
            </w:r>
          </w:p>
        </w:tc>
        <w:tc>
          <w:tcPr/>
          <w:p>
            <w:pPr>
              <w:pStyle w:val="Compact"/>
              <w:jc w:val="left"/>
            </w:pPr>
            <w:r>
              <w:t xml:space="preserve">Entrant</w:t>
            </w:r>
          </w:p>
        </w:tc>
        <w:tc>
          <w:tcPr/>
          <w:p>
            <w:pPr>
              <w:pStyle w:val="Compact"/>
              <w:jc w:val="left"/>
            </w:pPr>
            <w:r>
              <w:t xml:space="preserve">Toutes les fonctions sont exposées ; authentification</w:t>
            </w:r>
            <w:r>
              <w:t xml:space="preserve"> </w:t>
            </w:r>
            <w:r>
              <w:rPr>
                <w:rStyle w:val="VerbatimChar"/>
              </w:rPr>
              <w:t xml:space="preserve">X-API-Key</w:t>
            </w:r>
            <w:r>
              <w:t xml:space="preserve"> </w:t>
            </w:r>
            <w:r>
              <w:t xml:space="preserve">pour les applications (ERP, SIRH)</w:t>
            </w:r>
          </w:p>
        </w:tc>
      </w:tr>
      <w:tr>
        <w:tc>
          <w:tcPr/>
          <w:p>
            <w:pPr>
              <w:pStyle w:val="Compact"/>
              <w:jc w:val="left"/>
            </w:pPr>
            <w:r>
              <w:t xml:space="preserve">Webhooks</w:t>
            </w:r>
          </w:p>
        </w:tc>
        <w:tc>
          <w:tcPr/>
          <w:p>
            <w:pPr>
              <w:pStyle w:val="Compact"/>
              <w:jc w:val="left"/>
            </w:pPr>
            <w:r>
              <w:t xml:space="preserve">Sortant</w:t>
            </w:r>
          </w:p>
        </w:tc>
        <w:tc>
          <w:tcPr/>
          <w:p>
            <w:pPr>
              <w:pStyle w:val="Compact"/>
              <w:jc w:val="left"/>
            </w:pPr>
            <w:r>
              <w:rPr>
                <w:rStyle w:val="VerbatimChar"/>
              </w:rPr>
              <w:t xml:space="preserve">document.created</w:t>
            </w:r>
            <w:r>
              <w:t xml:space="preserve">,</w:t>
            </w:r>
            <w:r>
              <w:t xml:space="preserve"> </w:t>
            </w:r>
            <w:r>
              <w:rPr>
                <w:rStyle w:val="VerbatimChar"/>
              </w:rPr>
              <w:t xml:space="preserve">.version_added</w:t>
            </w:r>
            <w:r>
              <w:t xml:space="preserve">,</w:t>
            </w:r>
            <w:r>
              <w:t xml:space="preserve"> </w:t>
            </w:r>
            <w:r>
              <w:rPr>
                <w:rStyle w:val="VerbatimChar"/>
              </w:rPr>
              <w:t xml:space="preserve">.submitted</w:t>
            </w:r>
            <w:r>
              <w:t xml:space="preserve">,</w:t>
            </w:r>
            <w:r>
              <w:t xml:space="preserve"> </w:t>
            </w:r>
            <w:r>
              <w:rPr>
                <w:rStyle w:val="VerbatimChar"/>
              </w:rPr>
              <w:t xml:space="preserve">.validated</w:t>
            </w:r>
            <w:r>
              <w:t xml:space="preserve">,</w:t>
            </w:r>
            <w:r>
              <w:t xml:space="preserve"> </w:t>
            </w:r>
            <w:r>
              <w:rPr>
                <w:rStyle w:val="VerbatimChar"/>
              </w:rPr>
              <w:t xml:space="preserve">.rejected</w:t>
            </w:r>
            <w:r>
              <w:t xml:space="preserve">,</w:t>
            </w:r>
            <w:r>
              <w:t xml:space="preserve"> </w:t>
            </w:r>
            <w:r>
              <w:rPr>
                <w:rStyle w:val="VerbatimChar"/>
              </w:rPr>
              <w:t xml:space="preserve">.archived</w:t>
            </w:r>
            <w:r>
              <w:t xml:space="preserve">,</w:t>
            </w:r>
            <w:r>
              <w:t xml:space="preserve"> </w:t>
            </w:r>
            <w:r>
              <w:rPr>
                <w:rStyle w:val="VerbatimChar"/>
              </w:rPr>
              <w:t xml:space="preserve">.destroyed</w:t>
            </w:r>
            <w:r>
              <w:t xml:space="preserve">,</w:t>
            </w:r>
            <w:r>
              <w:t xml:space="preserve"> </w:t>
            </w:r>
            <w:r>
              <w:rPr>
                <w:rStyle w:val="VerbatimChar"/>
              </w:rPr>
              <w:t xml:space="preserve">integrity.failure</w:t>
            </w:r>
            <w:r>
              <w:t xml:space="preserve"> </w:t>
            </w:r>
            <w:r>
              <w:t xml:space="preserve">; corps JSON signé</w:t>
            </w:r>
            <w:r>
              <w:t xml:space="preserve"> </w:t>
            </w:r>
            <w:r>
              <w:rPr>
                <w:rStyle w:val="VerbatimChar"/>
              </w:rPr>
              <w:t xml:space="preserve">X-SIGED-Signature: sha256=HMAC(secret, corps)</w:t>
            </w:r>
            <w:r>
              <w:t xml:space="preserve">, 3 tentatives</w:t>
            </w:r>
          </w:p>
        </w:tc>
      </w:tr>
      <w:tr>
        <w:tc>
          <w:tcPr/>
          <w:p>
            <w:pPr>
              <w:pStyle w:val="Compact"/>
              <w:jc w:val="left"/>
            </w:pPr>
            <w:r>
              <w:t xml:space="preserve">Dossier partagé</w:t>
            </w:r>
          </w:p>
        </w:tc>
        <w:tc>
          <w:tcPr/>
          <w:p>
            <w:pPr>
              <w:pStyle w:val="Compact"/>
              <w:jc w:val="left"/>
            </w:pPr>
            <w:r>
              <w:t xml:space="preserve">Entrant</w:t>
            </w:r>
          </w:p>
        </w:tc>
        <w:tc>
          <w:tcPr/>
          <w:p>
            <w:pPr>
              <w:pStyle w:val="Compact"/>
              <w:jc w:val="left"/>
            </w:pPr>
            <w:r>
              <w:t xml:space="preserve">Fichier + fiche</w:t>
            </w:r>
            <w:r>
              <w:t xml:space="preserve"> </w:t>
            </w:r>
            <w:r>
              <w:rPr>
                <w:rStyle w:val="VerbatimChar"/>
              </w:rPr>
              <w:t xml:space="preserve">.json</w:t>
            </w:r>
            <w:r>
              <w:t xml:space="preserve"> </w:t>
            </w:r>
            <w:r>
              <w:t xml:space="preserve">optionnelle ; un sous-dossier nommé par un code de rubrique classe automatiquement ; fichiers traités déplacés dans</w:t>
            </w:r>
            <w:r>
              <w:t xml:space="preserve"> </w:t>
            </w:r>
            <w:r>
              <w:rPr>
                <w:rStyle w:val="VerbatimChar"/>
              </w:rPr>
              <w:t xml:space="preserve">_processed/</w:t>
            </w:r>
            <w:r>
              <w:t xml:space="preserve"> </w:t>
            </w:r>
            <w:r>
              <w:t xml:space="preserve">ou</w:t>
            </w:r>
            <w:r>
              <w:t xml:space="preserve"> </w:t>
            </w:r>
            <w:r>
              <w:rPr>
                <w:rStyle w:val="VerbatimChar"/>
              </w:rPr>
              <w:t xml:space="preserve">_errors/</w:t>
            </w:r>
            <w:r>
              <w:t xml:space="preserve"> </w:t>
            </w:r>
            <w:r>
              <w:t xml:space="preserve">avec la cause</w:t>
            </w:r>
          </w:p>
        </w:tc>
      </w:tr>
      <w:tr>
        <w:tc>
          <w:tcPr/>
          <w:p>
            <w:pPr>
              <w:pStyle w:val="Compact"/>
              <w:jc w:val="left"/>
            </w:pPr>
            <w:r>
              <w:t xml:space="preserve">Import par lot</w:t>
            </w:r>
          </w:p>
        </w:tc>
        <w:tc>
          <w:tcPr/>
          <w:p>
            <w:pPr>
              <w:pStyle w:val="Compact"/>
              <w:jc w:val="left"/>
            </w:pPr>
            <w:r>
              <w:t xml:space="preserve">Entrant</w:t>
            </w:r>
          </w:p>
        </w:tc>
        <w:tc>
          <w:tcPr/>
          <w:p>
            <w:pPr>
              <w:pStyle w:val="Compact"/>
              <w:jc w:val="left"/>
            </w:pPr>
            <w:r>
              <w:t xml:space="preserve">Plusieurs fichiers ou ZIP +</w:t>
            </w:r>
            <w:r>
              <w:t xml:space="preserve"> </w:t>
            </w:r>
            <w:r>
              <w:rPr>
                <w:rStyle w:val="VerbatimChar"/>
              </w:rPr>
              <w:t xml:space="preserve">manifest.csv</w:t>
            </w:r>
            <w:r>
              <w:t xml:space="preserve"> </w:t>
            </w:r>
            <w:r>
              <w:t xml:space="preserve">(une ligne de métadonnées par fichier) ; résultat 207 avec réussites et erreurs détaillées</w:t>
            </w:r>
          </w:p>
        </w:tc>
      </w:tr>
      <w:tr>
        <w:tc>
          <w:tcPr/>
          <w:p>
            <w:pPr>
              <w:pStyle w:val="Compact"/>
              <w:jc w:val="left"/>
            </w:pPr>
            <w:r>
              <w:t xml:space="preserve">Messagerie IMAP</w:t>
            </w:r>
          </w:p>
        </w:tc>
        <w:tc>
          <w:tcPr/>
          <w:p>
            <w:pPr>
              <w:pStyle w:val="Compact"/>
              <w:jc w:val="left"/>
            </w:pPr>
            <w:r>
              <w:t xml:space="preserve">Entrant</w:t>
            </w:r>
          </w:p>
        </w:tc>
        <w:tc>
          <w:tcPr/>
          <w:p>
            <w:pPr>
              <w:pStyle w:val="Compact"/>
              <w:jc w:val="left"/>
            </w:pPr>
            <w:r>
              <w:t xml:space="preserve">Chaque pièce jointe d’un message non lu devient un document (objet → titre, expéditeur → auteur)</w:t>
            </w:r>
          </w:p>
        </w:tc>
      </w:tr>
      <w:tr>
        <w:tc>
          <w:tcPr/>
          <w:p>
            <w:pPr>
              <w:pStyle w:val="Compact"/>
              <w:jc w:val="left"/>
            </w:pPr>
            <w:r>
              <w:t xml:space="preserve">SMTP</w:t>
            </w:r>
          </w:p>
        </w:tc>
        <w:tc>
          <w:tcPr/>
          <w:p>
            <w:pPr>
              <w:pStyle w:val="Compact"/>
              <w:jc w:val="left"/>
            </w:pPr>
            <w:r>
              <w:t xml:space="preserve">Sortant</w:t>
            </w:r>
          </w:p>
        </w:tc>
        <w:tc>
          <w:tcPr/>
          <w:p>
            <w:pPr>
              <w:pStyle w:val="Compact"/>
              <w:jc w:val="left"/>
            </w:pPr>
            <w:r>
              <w:t xml:space="preserve">Notification des valideurs à la soumission, de l’auteur à l’approbation ou au rejet</w:t>
            </w:r>
          </w:p>
        </w:tc>
      </w:tr>
    </w:tbl>
    <w:p>
      <w:pPr>
        <w:pStyle w:val="BodyText"/>
      </w:pPr>
      <w:r>
        <w:t xml:space="preserve">Exemple d’intégration SIRH : à l’embauche, le SIRH appelle</w:t>
      </w:r>
      <w:r>
        <w:t xml:space="preserve"> </w:t>
      </w:r>
      <w:r>
        <w:rPr>
          <w:rStyle w:val="VerbatimChar"/>
        </w:rPr>
        <w:t xml:space="preserve">POST /api/documents</w:t>
      </w:r>
      <w:r>
        <w:t xml:space="preserve"> </w:t>
      </w:r>
      <w:r>
        <w:t xml:space="preserve">avec le contrat et</w:t>
      </w:r>
      <w:r>
        <w:t xml:space="preserve"> </w:t>
      </w:r>
      <w:r>
        <w:rPr>
          <w:rStyle w:val="VerbatimChar"/>
        </w:rPr>
        <w:t xml:space="preserve">extra_metadata.matricule</w:t>
      </w:r>
      <w:r>
        <w:t xml:space="preserve"> </w:t>
      </w:r>
      <w:r>
        <w:t xml:space="preserve">; il s’abonne à</w:t>
      </w:r>
      <w:r>
        <w:t xml:space="preserve"> </w:t>
      </w:r>
      <w:r>
        <w:rPr>
          <w:rStyle w:val="VerbatimChar"/>
        </w:rPr>
        <w:t xml:space="preserve">document.validated</w:t>
      </w:r>
      <w:r>
        <w:t xml:space="preserve"> </w:t>
      </w:r>
      <w:r>
        <w:t xml:space="preserve">pour mettre à jour le dossier de l’agent ; la recherche</w:t>
      </w:r>
      <w:r>
        <w:t xml:space="preserve"> </w:t>
      </w:r>
      <w:r>
        <w:rPr>
          <w:rStyle w:val="VerbatimChar"/>
        </w:rPr>
        <w:t xml:space="preserve">GET /api/search?meta_key=matricule&amp;meta_value=AG-2024-117</w:t>
      </w:r>
      <w:r>
        <w:t xml:space="preserve"> </w:t>
      </w:r>
      <w:r>
        <w:t xml:space="preserve">retrouve le dossier complet.</w:t>
      </w:r>
    </w:p>
    <w:bookmarkEnd w:id="62"/>
    <w:bookmarkStart w:id="63" w:name="exploitation"/>
    <w:p>
      <w:pPr>
        <w:pStyle w:val="Heading1"/>
      </w:pPr>
      <w:r>
        <w:t xml:space="preserve">12. Exploitation</w:t>
      </w:r>
    </w:p>
    <w:p>
      <w:pPr>
        <w:numPr>
          <w:ilvl w:val="0"/>
          <w:numId w:val="1008"/>
        </w:numPr>
        <w:pStyle w:val="Compact"/>
      </w:pPr>
      <w:r>
        <w:rPr>
          <w:bCs/>
          <w:b/>
        </w:rPr>
        <w:t xml:space="preserve">Configuration</w:t>
      </w:r>
      <w:r>
        <w:t xml:space="preserve"> </w:t>
      </w:r>
      <w:r>
        <w:t xml:space="preserve">: uniquement par variables d’environnement</w:t>
      </w:r>
      <w:r>
        <w:t xml:space="preserve"> </w:t>
      </w:r>
      <w:r>
        <w:rPr>
          <w:rStyle w:val="VerbatimChar"/>
        </w:rPr>
        <w:t xml:space="preserve">SIGED_*</w:t>
      </w:r>
      <w:r>
        <w:t xml:space="preserve"> </w:t>
      </w:r>
      <w:r>
        <w:t xml:space="preserve">(</w:t>
      </w:r>
      <w:r>
        <w:rPr>
          <w:rStyle w:val="VerbatimChar"/>
        </w:rPr>
        <w:t xml:space="preserve">.env.example</w:t>
      </w:r>
      <w:r>
        <w:t xml:space="preserve"> </w:t>
      </w:r>
      <w:r>
        <w:t xml:space="preserve">fourni) ; aucun secret dans le code.</w:t>
      </w:r>
    </w:p>
    <w:p>
      <w:pPr>
        <w:numPr>
          <w:ilvl w:val="0"/>
          <w:numId w:val="1008"/>
        </w:numPr>
        <w:pStyle w:val="Compact"/>
      </w:pPr>
      <w:r>
        <w:rPr>
          <w:bCs/>
          <w:b/>
        </w:rPr>
        <w:t xml:space="preserve">Démarrage</w:t>
      </w:r>
      <w:r>
        <w:t xml:space="preserve"> </w:t>
      </w:r>
      <w:r>
        <w:t xml:space="preserve">:</w:t>
      </w:r>
      <w:r>
        <w:t xml:space="preserve"> </w:t>
      </w:r>
      <w:r>
        <w:rPr>
          <w:rStyle w:val="VerbatimChar"/>
        </w:rPr>
        <w:t xml:space="preserve">make certs &amp;&amp; docker compose up -d --build</w:t>
      </w:r>
      <w:r>
        <w:t xml:space="preserve"> </w:t>
      </w:r>
      <w:r>
        <w:t xml:space="preserve">; le premier démarrage crée les rôles, le compte administrateur et le plan de classement initial.</w:t>
      </w:r>
    </w:p>
    <w:p>
      <w:pPr>
        <w:numPr>
          <w:ilvl w:val="0"/>
          <w:numId w:val="1008"/>
        </w:numPr>
        <w:pStyle w:val="Compact"/>
      </w:pPr>
      <w:r>
        <w:rPr>
          <w:bCs/>
          <w:b/>
        </w:rPr>
        <w:t xml:space="preserve">Journaux</w:t>
      </w:r>
      <w:r>
        <w:t xml:space="preserve"> </w:t>
      </w:r>
      <w:r>
        <w:t xml:space="preserve">: sortie standard des conteneurs (format horodaté), à collecter par la plateforme (Loki, ELK…).</w:t>
      </w:r>
    </w:p>
    <w:p>
      <w:pPr>
        <w:numPr>
          <w:ilvl w:val="0"/>
          <w:numId w:val="1008"/>
        </w:numPr>
        <w:pStyle w:val="Compact"/>
      </w:pPr>
      <w:r>
        <w:rPr>
          <w:bCs/>
          <w:b/>
        </w:rPr>
        <w:t xml:space="preserve">Qualité</w:t>
      </w:r>
      <w:r>
        <w:t xml:space="preserve"> </w:t>
      </w:r>
      <w:r>
        <w:t xml:space="preserve">: 71 tests automatisés exécutés en intégration continue sur SQLite</w:t>
      </w:r>
      <w:r>
        <w:t xml:space="preserve"> </w:t>
      </w:r>
      <w:r>
        <w:rPr>
          <w:bCs/>
          <w:b/>
        </w:rPr>
        <w:t xml:space="preserve">et</w:t>
      </w:r>
      <w:r>
        <w:t xml:space="preserve"> </w:t>
      </w:r>
      <w:r>
        <w:t xml:space="preserve">PostgreSQL, avec la vraie chaîne OCR/PDF/A.</w:t>
      </w:r>
    </w:p>
    <w:bookmarkEnd w:id="63"/>
    <w:bookmarkStart w:id="64" w:name="limites-et-évolutions"/>
    <w:p>
      <w:pPr>
        <w:pStyle w:val="Heading1"/>
      </w:pPr>
      <w:r>
        <w:t xml:space="preserve">13. Limites et évolutions</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Limite actuelle</w:t>
            </w:r>
          </w:p>
        </w:tc>
        <w:tc>
          <w:tcPr/>
          <w:p>
            <w:pPr>
              <w:pStyle w:val="Compact"/>
              <w:jc w:val="left"/>
            </w:pPr>
            <w:r>
              <w:t xml:space="preserve">Évolution proposée</w:t>
            </w:r>
          </w:p>
        </w:tc>
      </w:tr>
      <w:tr>
        <w:tc>
          <w:tcPr/>
          <w:p>
            <w:pPr>
              <w:pStyle w:val="Compact"/>
              <w:jc w:val="left"/>
            </w:pPr>
            <w:r>
              <w:t xml:space="preserve">Schéma créé par</w:t>
            </w:r>
            <w:r>
              <w:t xml:space="preserve"> </w:t>
            </w:r>
            <w:r>
              <w:rPr>
                <w:rStyle w:val="VerbatimChar"/>
              </w:rPr>
              <w:t xml:space="preserve">create_all</w:t>
            </w:r>
          </w:p>
        </w:tc>
        <w:tc>
          <w:tcPr/>
          <w:p>
            <w:pPr>
              <w:pStyle w:val="Compact"/>
              <w:jc w:val="left"/>
            </w:pPr>
            <w:r>
              <w:t xml:space="preserve">Migrations versionnées avec Alembic</w:t>
            </w:r>
          </w:p>
        </w:tc>
      </w:tr>
      <w:tr>
        <w:tc>
          <w:tcPr/>
          <w:p>
            <w:pPr>
              <w:pStyle w:val="Compact"/>
              <w:jc w:val="left"/>
            </w:pPr>
            <w:r>
              <w:t xml:space="preserve">Aperçus recalculés à chaque consultation</w:t>
            </w:r>
          </w:p>
        </w:tc>
        <w:tc>
          <w:tcPr/>
          <w:p>
            <w:pPr>
              <w:pStyle w:val="Compact"/>
              <w:jc w:val="left"/>
            </w:pPr>
            <w:r>
              <w:t xml:space="preserve">Cache des pages rendues (stockage objet)</w:t>
            </w:r>
          </w:p>
        </w:tc>
      </w:tr>
      <w:tr>
        <w:tc>
          <w:tcPr/>
          <w:p>
            <w:pPr>
              <w:pStyle w:val="Compact"/>
              <w:jc w:val="left"/>
            </w:pPr>
            <w:r>
              <w:t xml:space="preserve">Un seul niveau de validation</w:t>
            </w:r>
          </w:p>
        </w:tc>
        <w:tc>
          <w:tcPr/>
          <w:p>
            <w:pPr>
              <w:pStyle w:val="Compact"/>
              <w:jc w:val="left"/>
            </w:pPr>
            <w:r>
              <w:t xml:space="preserve">Circuits paramétrables par rubrique (plusieurs valideurs, délais, relances)</w:t>
            </w:r>
          </w:p>
        </w:tc>
      </w:tr>
      <w:tr>
        <w:tc>
          <w:tcPr/>
          <w:p>
            <w:pPr>
              <w:pStyle w:val="Compact"/>
              <w:jc w:val="left"/>
            </w:pPr>
            <w:r>
              <w:t xml:space="preserve">Recherche PostgreSQL</w:t>
            </w:r>
          </w:p>
        </w:tc>
        <w:tc>
          <w:tcPr/>
          <w:p>
            <w:pPr>
              <w:pStyle w:val="Compact"/>
              <w:jc w:val="left"/>
            </w:pPr>
            <w:r>
              <w:t xml:space="preserve">Connecteur OpenSearch au-delà de quelques centaines de milliers de documents</w:t>
            </w:r>
          </w:p>
        </w:tc>
      </w:tr>
      <w:tr>
        <w:tc>
          <w:tcPr/>
          <w:p>
            <w:pPr>
              <w:pStyle w:val="Compact"/>
              <w:jc w:val="left"/>
            </w:pPr>
            <w:r>
              <w:t xml:space="preserve">Clé AES unique</w:t>
            </w:r>
          </w:p>
        </w:tc>
        <w:tc>
          <w:tcPr/>
          <w:p>
            <w:pPr>
              <w:pStyle w:val="Compact"/>
              <w:jc w:val="left"/>
            </w:pPr>
            <w:r>
              <w:t xml:space="preserve">Rotation des clés (identifiant de clé dans l’en-tête), KMS / HSM</w:t>
            </w:r>
          </w:p>
        </w:tc>
      </w:tr>
      <w:tr>
        <w:tc>
          <w:tcPr/>
          <w:p>
            <w:pPr>
              <w:pStyle w:val="Compact"/>
              <w:jc w:val="left"/>
            </w:pPr>
            <w:r>
              <w:t xml:space="preserve">Authentification locale</w:t>
            </w:r>
          </w:p>
        </w:tc>
        <w:tc>
          <w:tcPr/>
          <w:p>
            <w:pPr>
              <w:pStyle w:val="Compact"/>
              <w:jc w:val="left"/>
            </w:pPr>
            <w:r>
              <w:t xml:space="preserve">Fédération d’identité (LDAP/Active Directory, OpenID Connect), double authentification</w:t>
            </w:r>
          </w:p>
        </w:tc>
      </w:tr>
      <w:tr>
        <w:tc>
          <w:tcPr/>
          <w:p>
            <w:pPr>
              <w:pStyle w:val="Compact"/>
              <w:jc w:val="left"/>
            </w:pPr>
            <w:r>
              <w:t xml:space="preserve">Horodatage interne</w:t>
            </w:r>
          </w:p>
        </w:tc>
        <w:tc>
          <w:tcPr/>
          <w:p>
            <w:pPr>
              <w:pStyle w:val="Compact"/>
              <w:jc w:val="left"/>
            </w:pPr>
            <w:r>
              <w:t xml:space="preserve">Horodatage qualifié par un tiers (RFC 3161) des empreintes, pour une valeur probante renforcée</w:t>
            </w:r>
          </w:p>
        </w:tc>
      </w:tr>
      <w:tr>
        <w:tc>
          <w:tcPr/>
          <w:p>
            <w:pPr>
              <w:pStyle w:val="Compact"/>
              <w:jc w:val="left"/>
            </w:pPr>
            <w:r>
              <w:t xml:space="preserve">Validation PDF/A déclarative</w:t>
            </w:r>
          </w:p>
        </w:tc>
        <w:tc>
          <w:tcPr/>
          <w:p>
            <w:pPr>
              <w:pStyle w:val="Compact"/>
              <w:jc w:val="left"/>
            </w:pPr>
            <w:r>
              <w:t xml:space="preserve">Contrôle de conformité par veraPDF</w:t>
            </w:r>
          </w:p>
        </w:tc>
      </w:tr>
      <w:tr>
        <w:tc>
          <w:tcPr/>
          <w:p>
            <w:pPr>
              <w:pStyle w:val="Compact"/>
              <w:jc w:val="left"/>
            </w:pPr>
            <w:r>
              <w:t xml:space="preserve">Mono-établissement</w:t>
            </w:r>
          </w:p>
        </w:tc>
        <w:tc>
          <w:tcPr/>
          <w:p>
            <w:pPr>
              <w:pStyle w:val="Compact"/>
              <w:jc w:val="left"/>
            </w:pPr>
            <w:r>
              <w:t xml:space="preserve">Multi-établissement (cloisonnement des données par entité)</w:t>
            </w:r>
          </w:p>
        </w:tc>
      </w:tr>
    </w:tbl>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4" Target="media/rId44.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SIGED — Cahier d’architecture technique</dc:title>
  <dc:creator>Kombila N’Sougan Edere Levy — Cycle ingénieur SI, IAI Gabon</dc:creator>
  <dc:language>fr</dc:language>
  <cp:keywords/>
  <dcterms:created xsi:type="dcterms:W3CDTF">2026-10-09T10:40:54Z</dcterms:created>
  <dcterms:modified xsi:type="dcterms:W3CDTF">2026-10-09T10:40:54Z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octobre 2026</vt:lpwstr>
  </property>
  <property fmtid="{D5CDD505-2E9C-101B-9397-08002B2CF9AE}" pid="3" name="subtitle">
    <vt:lpwstr>Système Intégré de Gestion Électronique des Documents et d’archivage</vt:lpwstr>
  </property>
  <property fmtid="{D5CDD505-2E9C-101B-9397-08002B2CF9AE}" pid="4" name="toc-title">
    <vt:lpwstr>Sommaire</vt:lpwstr>
  </property>
</Properties>
</file>