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2026年3月金融行业网络安全监测与态势研判报告</w:t>
      </w:r>
    </w:p>
    <w:p>
      <w:pPr>
        <w:jc w:val="center"/>
      </w:pPr>
      <w:r>
        <w:rPr>
          <w:rFonts w:ascii="微软雅黑" w:hAnsi="微软雅黑"/>
          <w:color w:val="66718A"/>
          <w:sz w:val="22"/>
        </w:rPr>
        <w:t>高级威胁、移动支付劫持与AI供应链风险态势研判</w:t>
      </w:r>
    </w:p>
    <w:p>
      <w:pPr>
        <w:pStyle w:val="Heading2"/>
      </w:pPr>
      <w:r>
        <w:t>态势总览：金融网络安全风险研判</w:t>
      </w:r>
    </w:p>
    <w:p>
      <w:r>
        <w:t>本月金融行业整体威胁等级评定为高风险。三大核心风险同时演进：AI与供应链风险快速显性化，主要表现为OpenClaw智能体平台暴露与Vibe Coding供应链投毒；国家级APT攻击向破坏性升级，以Seedworm为代表；移动金融威胁从凭证窃取转向实时交易劫持，PixRevolution木马成为典型。</w:t>
      </w:r>
    </w:p>
    <w:p>
      <w:pPr>
        <w:pStyle w:val="ListBullet"/>
        <w:ind w:firstLine="0"/>
      </w:pPr>
      <w:r>
        <w:t>AI与供应链风险：OpenClaw平台大规模暴露、Vibe Coding投毒窃取开发者密钥和加密资产。</w:t>
      </w:r>
    </w:p>
    <w:p>
      <w:pPr>
        <w:pStyle w:val="ListBullet"/>
        <w:ind w:firstLine="0"/>
      </w:pPr>
      <w:r>
        <w:t>APT攻击升级：伊朗Seedworm组织从情报窃取向擦除破坏性操作演进，地缘政治溢出风险增大。</w:t>
      </w:r>
    </w:p>
    <w:p>
      <w:pPr>
        <w:pStyle w:val="ListBullet"/>
        <w:ind w:firstLine="0"/>
      </w:pPr>
      <w:r>
        <w:t>移动资金攻击：PixRevolution利用无障碍服务实时替换收款账户，直接劫持支付交易。</w:t>
      </w:r>
    </w:p>
    <w:p>
      <w:pPr>
        <w:pStyle w:val="Heading2"/>
      </w:pPr>
      <w:r>
        <w:t>重点威胁（一）：伊朗APT组织Seedworm攻击升级</w:t>
      </w:r>
    </w:p>
    <w:p>
      <w:r>
        <w:t>Seedworm近期行动表现出明显的技战术升级与攻击意图变化。攻击链以密码喷洒获取初始访问为起点，部署基于Deno运行时的Dindoor后门，随后滥用合法的远程监控管理工具（如PDQ、AnyDesk等）实现持久化，并通过Rclone将数据外传至云存储。在部分行动中，攻击者投递BibiWiper擦除恶意软件，展示出破坏性目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2FF"/>
          </w:tcPr>
          <w:p>
            <w:pPr>
              <w:ind w:firstLine="0"/>
            </w:pPr>
            <w:r>
              <w:rPr>
                <w:rFonts w:ascii="微软雅黑" w:hAnsi="微软雅黑"/>
                <w:b/>
                <w:sz w:val="20"/>
              </w:rPr>
              <w:t>攻击阶段</w:t>
            </w:r>
          </w:p>
        </w:tc>
        <w:tc>
          <w:tcPr>
            <w:tcW w:type="dxa" w:w="2880"/>
            <w:shd w:fill="EEF2FF"/>
          </w:tcPr>
          <w:p>
            <w:pPr>
              <w:ind w:firstLine="0"/>
            </w:pPr>
            <w:r>
              <w:rPr>
                <w:rFonts w:ascii="微软雅黑" w:hAnsi="微软雅黑"/>
                <w:b/>
                <w:sz w:val="20"/>
              </w:rPr>
              <w:t>具体手法</w:t>
            </w:r>
          </w:p>
        </w:tc>
        <w:tc>
          <w:tcPr>
            <w:tcW w:type="dxa" w:w="2880"/>
            <w:shd w:fill="EEF2FF"/>
          </w:tcPr>
          <w:p>
            <w:pPr>
              <w:ind w:firstLine="0"/>
            </w:pPr>
            <w:r>
              <w:rPr>
                <w:rFonts w:ascii="微软雅黑" w:hAnsi="微软雅黑"/>
                <w:b/>
                <w:sz w:val="20"/>
              </w:rPr>
              <w:t>风险指示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初始访问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密码喷洒攻击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针对边界弱口令，突破防线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持久化与隐匿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Dindoor后门 + 合法RMM工具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规避检测，延长驻留时间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数据外泄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Rclone上传至云存储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敏感金融数据可能外流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破坏性升级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部署BibiWiper擦除器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攻击意图从窃密转向破坏</w:t>
            </w:r>
          </w:p>
        </w:tc>
      </w:tr>
    </w:tbl>
    <w:p>
      <w:r>
        <w:t>影响研判：金融、交通、能源等关键基础设施面临地缘政治驱动的攻击溢出风险。金融行业作为战略目标，遭受破坏性攻击的可能性上升，必须将Seedworm等APT视为潜在重大威胁。</w:t>
      </w:r>
    </w:p>
    <w:p>
      <w:pPr>
        <w:pStyle w:val="Heading2"/>
      </w:pPr>
      <w:r>
        <w:t>重点威胁（二）：PixRevolution木马实时劫持支付交易</w:t>
      </w:r>
    </w:p>
    <w:p>
      <w:r>
        <w:t>PixRevolution木马标志着移动金融威胁的质变。其攻击模式已从静态钓鱼页面演进为动态实时操控：用户安装伪装成Google Play应用的木马后，攻击者获取无障碍服务权限，建立C2连接并进行屏幕实时捕获。当用户发起任意金融交易时，操作员在后台精准注入覆盖层，替换收款人账户信息，并模拟点击完成资金劫持。整个过程对用户完全透明，防不胜防。</w:t>
      </w:r>
    </w:p>
    <w:p>
      <w:pPr>
        <w:pStyle w:val="ListBullet"/>
        <w:ind w:firstLine="0"/>
      </w:pPr>
      <w:r>
        <w:t>无障碍服务滥用：实时监控屏幕内容，截取交易时机。</w:t>
      </w:r>
    </w:p>
    <w:p>
      <w:pPr>
        <w:pStyle w:val="ListBullet"/>
        <w:ind w:firstLine="0"/>
      </w:pPr>
      <w:r>
        <w:t>动态覆盖层注入：瞬间替换收款银行与账号，绕过传统验证。</w:t>
      </w:r>
    </w:p>
    <w:p>
      <w:pPr>
        <w:pStyle w:val="ListBullet"/>
        <w:ind w:firstLine="0"/>
      </w:pPr>
      <w:r>
        <w:t>操作员远程操控：攻击者在后台实时决策，不是自动化脚本，灵活性极高。</w:t>
      </w:r>
    </w:p>
    <w:p>
      <w:pPr>
        <w:pStyle w:val="ListBullet"/>
        <w:ind w:firstLine="0"/>
      </w:pPr>
      <w:r>
        <w:t>资金直损：直接造成账户资金实时转移，损失难以追回。</w:t>
      </w:r>
    </w:p>
    <w:p>
      <w:pPr>
        <w:pStyle w:val="Heading2"/>
      </w:pPr>
      <w:r>
        <w:t>重点威胁（三）：Vibe Coding供应链投毒窃取开发者资产</w:t>
      </w:r>
    </w:p>
    <w:p>
      <w:r>
        <w:t>本次披露的Vibe Coding供应链投毒攻击链极为复杂。攻击者首先窃取GitHub/NPM Token，对目标仓库实施force-push注入恶意代码。恶意载荷经由多层混淆（Base64 + zlib + XOR），在pip install或git pull时自动执行。通过Solana区块链获取加密C2地址后，下载Node.js后门，并伪造系统弹窗骗取root权限。最终，攻击行动会卸载正版Ledger Live/Trezor Suite钱包并安装仿冒版本，批量窃取浏览器数据、SSH/AWS凭证及加密货币资产。整个过程还会二次污染供应链，扩大影响范围。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2FF"/>
          </w:tcPr>
          <w:p>
            <w:pPr>
              <w:ind w:firstLine="0"/>
            </w:pPr>
            <w:r>
              <w:rPr>
                <w:rFonts w:ascii="微软雅黑" w:hAnsi="微软雅黑"/>
                <w:b/>
                <w:sz w:val="20"/>
              </w:rPr>
              <w:t>攻击阶段</w:t>
            </w:r>
          </w:p>
        </w:tc>
        <w:tc>
          <w:tcPr>
            <w:tcW w:type="dxa" w:w="2880"/>
            <w:shd w:fill="EEF2FF"/>
          </w:tcPr>
          <w:p>
            <w:pPr>
              <w:ind w:firstLine="0"/>
            </w:pPr>
            <w:r>
              <w:rPr>
                <w:rFonts w:ascii="微软雅黑" w:hAnsi="微软雅黑"/>
                <w:b/>
                <w:sz w:val="20"/>
              </w:rPr>
              <w:t>技术细节</w:t>
            </w:r>
          </w:p>
        </w:tc>
        <w:tc>
          <w:tcPr>
            <w:tcW w:type="dxa" w:w="2880"/>
            <w:shd w:fill="EEF2FF"/>
          </w:tcPr>
          <w:p>
            <w:pPr>
              <w:ind w:firstLine="0"/>
            </w:pPr>
            <w:r>
              <w:rPr>
                <w:rFonts w:ascii="微软雅黑" w:hAnsi="微软雅黑"/>
                <w:b/>
                <w:sz w:val="20"/>
              </w:rPr>
              <w:t>风险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初始投毒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窃取Token后force-push恶意代码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合法仓库被劫持，信任关系被滥用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代码执行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三层混淆 + pip/git钩子触发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绕过静态分析，动态植入后门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C2通信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Solana区块链获取加密地址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隐蔽性强，难以阻断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权限提升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伪造系统弹窗骗取root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完全控制受害主机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资产窃取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安装仿冒钱包 + 窃取凭证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直接造成金融资产损失</w:t>
            </w:r>
          </w:p>
        </w:tc>
      </w:tr>
    </w:tbl>
    <w:p>
      <w:pPr>
        <w:pStyle w:val="Heading2"/>
      </w:pPr>
      <w:r>
        <w:t>新兴风险：AI智能体平台（OpenClaw）安全敞口</w:t>
      </w:r>
    </w:p>
    <w:p>
      <w:r>
        <w:t>金融机构智能化转型过程中，大量引入AI智能体平台，但OpenClaw等自托管实例暴露出严重安全缺陷。默认配置脆弱导致实例被大规模扫描并远程接管，ClawHavoc活动通过恶意插件进一步扩展控制权，Vidar木马变种专门窃取平台配置与密钥。攻击者一旦控制智能体，即可横向移动至内网，篡改自动化交易指令，对业务连续性构成直接威胁。</w:t>
      </w:r>
    </w:p>
    <w:p>
      <w:pPr>
        <w:pStyle w:val="ListBullet"/>
        <w:ind w:firstLine="0"/>
      </w:pPr>
      <w:r>
        <w:t>默认配置暴露：未经修改的OpenClaw实例可被直接远程操控。</w:t>
      </w:r>
    </w:p>
    <w:p>
      <w:pPr>
        <w:pStyle w:val="ListBullet"/>
        <w:ind w:firstLine="0"/>
      </w:pPr>
      <w:r>
        <w:t>恶意插件攻击：ClawHavoc活动利用插件机制植入后门。</w:t>
      </w:r>
    </w:p>
    <w:p>
      <w:pPr>
        <w:pStyle w:val="ListBullet"/>
        <w:ind w:firstLine="0"/>
      </w:pPr>
      <w:r>
        <w:t>凭证窃取：Vidar变种窃取API密钥及敏感配置，导致数据泄露。</w:t>
      </w:r>
    </w:p>
    <w:p>
      <w:pPr>
        <w:pStyle w:val="ListBullet"/>
        <w:ind w:firstLine="0"/>
      </w:pPr>
      <w:r>
        <w:t>业务风险：攻击者可篡改自动交易、转账指令，引发资金风险。</w:t>
      </w:r>
    </w:p>
    <w:p>
      <w:pPr>
        <w:pStyle w:val="Heading2"/>
      </w:pPr>
      <w:r>
        <w:t>核心防御建议与落地策略</w:t>
      </w:r>
    </w:p>
    <w:p>
      <w:r>
        <w:t>面对多重威胁交织的复杂局面，金融机构亟需从终端、移动端、AI平台及网络边界多维度构建纵深防御体系，并建立专项应急响应流程。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2FF"/>
          </w:tcPr>
          <w:p>
            <w:pPr>
              <w:ind w:firstLine="0"/>
            </w:pPr>
            <w:r>
              <w:rPr>
                <w:rFonts w:ascii="微软雅黑" w:hAnsi="微软雅黑"/>
                <w:b/>
                <w:sz w:val="20"/>
              </w:rPr>
              <w:t>防御领域</w:t>
            </w:r>
          </w:p>
        </w:tc>
        <w:tc>
          <w:tcPr>
            <w:tcW w:type="dxa" w:w="2880"/>
            <w:shd w:fill="EEF2FF"/>
          </w:tcPr>
          <w:p>
            <w:pPr>
              <w:ind w:firstLine="0"/>
            </w:pPr>
            <w:r>
              <w:rPr>
                <w:rFonts w:ascii="微软雅黑" w:hAnsi="微软雅黑"/>
                <w:b/>
                <w:sz w:val="20"/>
              </w:rPr>
              <w:t>核心措施</w:t>
            </w:r>
          </w:p>
        </w:tc>
        <w:tc>
          <w:tcPr>
            <w:tcW w:type="dxa" w:w="2880"/>
            <w:shd w:fill="EEF2FF"/>
          </w:tcPr>
          <w:p>
            <w:pPr>
              <w:ind w:firstLine="0"/>
            </w:pPr>
            <w:r>
              <w:rPr>
                <w:rFonts w:ascii="微软雅黑" w:hAnsi="微软雅黑"/>
                <w:b/>
                <w:sz w:val="20"/>
              </w:rPr>
              <w:t>针对风险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终端与供应链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限制非官方软件安装，监控pip install git+URL行为，强化代码仓库访问控制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供应链投毒、凭证窃取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移动金融App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集成运行时完整性检测与多因素支付复核，实时拦截异常覆盖层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实时交易劫持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AI智能体平台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立即实施配置审计、网络隔离与插件管控，禁止明文存储凭据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AI平台接管、内网横向移动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网络与边界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监测云存储异常流量，严格管控RMM工具外部访问，限制智能体平台对核心业务的访问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数据外泄、持久化远控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应急响应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建立AI凭据泄露专项预案，强制密码重置与会话失效，隔离受感染节点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微软雅黑" w:hAnsi="微软雅黑"/>
                <w:sz w:val="20"/>
              </w:rPr>
              <w:t>凭证泄露扩散、破坏性攻击</w:t>
            </w:r>
          </w:p>
        </w:tc>
      </w:tr>
    </w:tbl>
    <w:p>
      <w:pPr>
        <w:pStyle w:val="Heading2"/>
      </w:pPr>
      <w:r>
        <w:t>结语</w:t>
      </w:r>
    </w:p>
    <w:p>
      <w:r>
        <w:t>当前金融行业安全形势严峻，AI与供应链风险、APT破坏性升级、移动资金实时劫持三大趋势交织，威胁正朝着智能化、实时化、破坏性方向快速演进。建议各机构立即启动对AI智能体平台的安全加固，强化移动支付实时风控能力，并持续跟踪地缘政治驱动的APT活动。只有构建纵深防御与韧性体系，才能确保金融业务安全与连续性。</w:t>
      </w:r>
    </w:p>
    <w:p>
      <w:pPr>
        <w:pStyle w:val="Heading2"/>
      </w:pPr>
      <w:r>
        <w:t>资料来源</w:t>
      </w:r>
    </w:p>
    <w:p>
      <w:pPr>
        <w:pStyle w:val="ListBullet"/>
        <w:ind w:firstLine="0"/>
      </w:pPr>
      <w:r>
        <w:t>金融行业网络安全监测月报（2026年3月）.docx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363"/>
    </w:pPr>
    <w:rPr>
      <w:rFonts w:ascii="微软雅黑" w:hAnsi="微软雅黑"/>
      <w:sz w:val="22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ind w:firstLine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223A75"/>
      <w:sz w:val="48"/>
      <w:szCs w:val="28"/>
      <w:rFonts w:eastAsia="微软雅黑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240"/>
      <w:ind w:firstLine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223A75"/>
      <w:sz w:val="32"/>
      <w:szCs w:val="26"/>
      <w:rFonts w:eastAsia="微软雅黑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240"/>
      <w:ind w:firstLine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223A75"/>
      <w:rFonts w:eastAsia="微软雅黑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240"/>
      <w:ind w:firstLine="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223A75"/>
      <w:rFonts w:eastAsia="微软雅黑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