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60"/>
        <w:ind/>
        <w:jc w:val="center"/>
        <w:rPr/>
      </w:pPr>
      <w:r>
        <w:rPr>
          <w:rFonts w:ascii="Noto Sans CJK SC" w:hAnsi="Noto Sans CJK SC" w:eastAsia="Noto Sans CJK SC"/>
          <w:b/>
          <w:color w:val="1f4e79"/>
          <w:sz w:val="44"/>
        </w:rPr>
        <w:br/>
        <w:br/>
        <w:t xml:space="preserve">智能体平台技术路线与 AgentScope 选型建议报告</w:t>
      </w:r>
      <w:r/>
    </w:p>
    <w:p>
      <w:pPr>
        <w:pBdr/>
        <w:spacing/>
        <w:ind/>
        <w:jc w:val="center"/>
        <w:rPr/>
      </w:pPr>
      <w:r>
        <w:rPr>
          <w:rFonts w:ascii="Noto Sans CJK SC" w:hAnsi="Noto Sans CJK SC" w:eastAsia="Noto Sans CJK SC"/>
          <w:color w:val="646464"/>
          <w:sz w:val="26"/>
        </w:rPr>
        <w:t xml:space="preserve">面向电力业务智能体平台建设的内部讨论稿</w:t>
      </w:r>
      <w:r/>
    </w:p>
    <w:p>
      <w:pPr>
        <w:pBdr/>
        <w:spacing w:before="1400"/>
        <w:ind/>
        <w:jc w:val="center"/>
        <w:rPr/>
      </w:pPr>
      <w:r>
        <w:rPr>
          <w:rFonts w:ascii="Noto Sans CJK SC" w:hAnsi="Noto Sans CJK SC" w:eastAsia="Noto Sans CJK SC"/>
          <w:color w:val="444444"/>
          <w:sz w:val="24"/>
        </w:rPr>
        <w:t xml:space="preserve">核心结论：AgentScope 可以作为验证框架或可插拔执行器，但不宜作为业务智能体平台的全部架构。</w:t>
        <w:br/>
        <w:t xml:space="preserve">应采用“自有平台抽象 + AgentScope 适配验证 + Python AI Runtime + Java 业务后端”的组合路线。</w:t>
      </w:r>
      <w:r/>
    </w:p>
    <w:p>
      <w:pPr>
        <w:pBdr/>
        <w:spacing w:before="2400"/>
        <w:ind/>
        <w:jc w:val="center"/>
        <w:rPr/>
      </w:pPr>
      <w:r>
        <w:rPr>
          <w:rFonts w:ascii="Noto Sans CJK SC" w:hAnsi="Noto Sans CJK SC" w:eastAsia="Noto Sans CJK SC"/>
          <w:color w:val="787878"/>
          <w:sz w:val="21"/>
        </w:rPr>
        <w:t xml:space="preserve">2026 年 5 月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一、背景与问题定位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当前智能体平台建设面临两个并行诉求：一方面，领导和研发团队希望借助 AgentScope 等开源框架降低交付风险，避免从零自研导致项目不可控；另一方面，电力业务智能体并不是普通聊天助手，其核心价值在于领域任务编排、工具治理、Skill 体系、流程资产复用和可追溯诊断闭环。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因此，本报告不讨论“是否完全排斥 AgentScope”，而是讨论如何在可交付、可控风险和平台资产沉淀之间取得平衡。推荐路线是：短期允许 AgentScope 参与样例验证，中期沉淀自有业务平台抽象，长期保持底层 Agent Runtime 可替换。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二、总体判断</w:t>
      </w:r>
      <w:r/>
    </w:p>
    <w:p>
      <w:pPr>
        <w:pBdr/>
        <w:spacing w:after="120" w:line="283" w:lineRule="auto"/>
        <w:ind/>
        <w:rPr/>
      </w:pPr>
      <w:r>
        <w:rPr>
          <w:rFonts w:ascii="Noto Sans CJK SC" w:hAnsi="Noto Sans CJK SC" w:eastAsia="Noto Sans CJK SC"/>
          <w:b/>
          <w:color w:val="1f4e79"/>
          <w:sz w:val="23"/>
        </w:rPr>
        <w:t xml:space="preserve">总体建议可以概括为一句话：AgentScope 可以用，但不能让业务架构被 AgentScope 绑死。</w:t>
      </w:r>
      <w:r/>
    </w:p>
    <w:p>
      <w:pPr>
        <w:pStyle w:val="734"/>
        <w:pBdr/>
        <w:spacing w:after="60" w:line="276" w:lineRule="auto"/>
        <w:ind/>
        <w:rPr/>
      </w:pPr>
      <w:r>
        <w:rPr>
          <w:rFonts w:ascii="Noto Sans CJK SC" w:hAnsi="Noto Sans CJK SC" w:eastAsia="Noto Sans CJK SC"/>
          <w:sz w:val="21"/>
        </w:rPr>
        <w:t xml:space="preserve">AgentScope 适合作为 ReAct、多智能体协作、工具调用、MCP 接入、运行沙箱和快速 Demo 的技术验证框架。</w:t>
      </w:r>
      <w:r/>
    </w:p>
    <w:p>
      <w:pPr>
        <w:pStyle w:val="734"/>
        <w:pBdr/>
        <w:spacing w:after="60" w:line="276" w:lineRule="auto"/>
        <w:ind/>
        <w:rPr/>
      </w:pPr>
      <w:r>
        <w:rPr>
          <w:rFonts w:ascii="Noto Sans CJK SC" w:hAnsi="Noto Sans CJK SC" w:eastAsia="Noto Sans CJK SC"/>
          <w:sz w:val="21"/>
        </w:rPr>
        <w:t xml:space="preserve">公司真正需要沉淀的是电力领域智能体平台能力，包括 TaskHarness、FlowRuntime、ToolRegistry、SkillRegistry、Flow as Tool、Trace 与权限审计。</w:t>
      </w:r>
      <w:r/>
    </w:p>
    <w:p>
      <w:pPr>
        <w:pStyle w:val="734"/>
        <w:pBdr/>
        <w:spacing w:after="60" w:line="276" w:lineRule="auto"/>
        <w:ind/>
        <w:rPr/>
      </w:pPr>
      <w:r>
        <w:rPr>
          <w:rFonts w:ascii="Noto Sans CJK SC" w:hAnsi="Noto Sans CJK SC" w:eastAsia="Noto Sans CJK SC"/>
          <w:sz w:val="21"/>
        </w:rPr>
        <w:t xml:space="preserve">稳定业务流程不应全部拟人化为 Agent。取数、清洗、指标计算、频谱分析、规则判断等应优先作为 Node 或 Tool；只有复杂推理、多视角校核、争议裁决等环节才适合 Agent 化。</w:t>
      </w:r>
      <w:r/>
    </w:p>
    <w:p>
      <w:pPr>
        <w:pStyle w:val="734"/>
        <w:pBdr/>
        <w:spacing w:after="60" w:line="276" w:lineRule="auto"/>
        <w:ind/>
        <w:rPr/>
      </w:pPr>
      <w:r>
        <w:rPr>
          <w:rFonts w:ascii="Noto Sans CJK SC" w:hAnsi="Noto Sans CJK SC" w:eastAsia="Noto Sans CJK SC"/>
          <w:sz w:val="21"/>
        </w:rPr>
        <w:t xml:space="preserve">Python 可以承担 AI Runtime 和算法工具服务，但不应直接承载全部企业后端职责；Java 继续负责业务后端、安全边界、权限、审批和企业系统集成。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三、AgentScope 的合理定位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AgentScope 的价值不在于“只要用了就高级”，而在于它提供了一套 Agent-first 的开发基础设施。它更适合处理多 Agent 对话、路由、handoff、工具调用、MCP 接入和运行时支撑，而不是天然替代电力业务场景中的 Flow-first 编排。</w:t>
      </w:r>
      <w:r/>
    </w:p>
    <w:tbl>
      <w:tblPr>
        <w:tblStyle w:val="7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rPr/>
        <w:tc>
          <w:tcPr>
            <w:shd w:val="clear" w:color="auto" w:fill="1f4e79"/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维度</w:t>
            </w:r>
            <w:r/>
          </w:p>
        </w:tc>
        <w:tc>
          <w:tcPr>
            <w:shd w:val="clear" w:color="auto" w:fill="1f4e79"/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适合交给 AgentScope 的部分</w:t>
            </w:r>
            <w:r/>
          </w:p>
        </w:tc>
        <w:tc>
          <w:tcPr>
            <w:shd w:val="clear" w:color="auto" w:fill="1f4e79"/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不宜交给 AgentScope 决定的部分</w:t>
            </w:r>
            <w:r/>
          </w:p>
        </w:tc>
      </w:tr>
      <w:tr>
        <w:trPr/>
        <w:tc>
          <w:tcPr>
            <w:shd w:val="clear" w:color="auto" w:fill="eaf2f8"/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执行能力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ReAct、工具调用、多轮推理、简单多 Agent 协作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业务流程资产、诊断闭环、证据链收敛规则</w:t>
            </w:r>
            <w:r/>
          </w:p>
        </w:tc>
      </w:tr>
      <w:tr>
        <w:trPr/>
        <w:tc>
          <w:tcPr>
            <w:shd w:val="clear" w:color="auto" w:fill="eaf2f8"/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运行支撑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沙箱、MCP、基础观测、Demo 快速验证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企业权限、组织隔离、审计规范、业务任务状态</w:t>
            </w:r>
            <w:r/>
          </w:p>
        </w:tc>
      </w:tr>
      <w:tr>
        <w:trPr/>
        <w:tc>
          <w:tcPr>
            <w:shd w:val="clear" w:color="auto" w:fill="eaf2f8"/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编排方式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Agent 会话模式、路由、handoff、并发讨论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强约束流程、可审计 Flow、Flow as Tool</w:t>
            </w:r>
            <w:r/>
          </w:p>
        </w:tc>
      </w:tr>
      <w:tr>
        <w:trPr/>
        <w:tc>
          <w:tcPr>
            <w:shd w:val="clear" w:color="auto" w:fill="eaf2f8"/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平台价值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降低短期验证成本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沉淀公司自有智能体平台内核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推荐定位是：AgentScope 作为可插拔执行器或验证框架，而不是平台总架构。平台外层仍由自有 TaskHarness 与 FlowRuntime 控制，AgentScope 只进入少数需要开放推理或多 Agent 协同的节点。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四、关于多 Agent 的判断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多 Agent 不是噱头，但“为了多 Agent 而多 Agent”就是噱头。线性拆成“数据 Agent → 分析 Agent → 诊断 Agent → 报告 Agent”，本质上往往只是把流程步骤拟人化，流程控制被隐藏在 Agent prompt 和消息传递中，工程上并不高级。</w:t>
      </w:r>
      <w:r/>
    </w:p>
    <w:tbl>
      <w:tblPr>
        <w:tblStyle w:val="7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rPr/>
        <w:tc>
          <w:tcPr>
            <w:shd w:val="clear" w:color="auto" w:fill="1f4e79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模式</w:t>
            </w:r>
            <w:r/>
          </w:p>
        </w:tc>
        <w:tc>
          <w:tcPr>
            <w:shd w:val="clear" w:color="auto" w:fill="1f4e79"/>
            <w:tcBorders/>
            <w:tcW w:w="35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典型写法</w:t>
            </w:r>
            <w:r/>
          </w:p>
        </w:tc>
        <w:tc>
          <w:tcPr>
            <w:shd w:val="clear" w:color="auto" w:fill="1f4e79"/>
            <w:tcBorders/>
            <w:tcW w:w="3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评价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不推荐</w:t>
            </w:r>
            <w:r/>
          </w:p>
        </w:tc>
        <w:tc>
          <w:tcPr>
            <w:tcBorders/>
            <w:tcW w:w="35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数据 Agent → 分析 Agent → 诊断 Agent → 报告 Agent</w:t>
            </w:r>
            <w:r/>
          </w:p>
        </w:tc>
        <w:tc>
          <w:tcPr>
            <w:tcBorders/>
            <w:tcW w:w="3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看似多智能体，实则是流程步骤拟人化；状态传递、失败处理、证据链和审计都不清晰。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推荐</w:t>
            </w:r>
            <w:r/>
          </w:p>
        </w:tc>
        <w:tc>
          <w:tcPr>
            <w:tcBorders/>
            <w:tcW w:w="35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FlowRuntime → 数据节点 → 分析节点 → 诊断推理节点 → 证据校核节点 → 报告节点</w:t>
            </w:r>
            <w:r/>
          </w:p>
        </w:tc>
        <w:tc>
          <w:tcPr>
            <w:tcBorders/>
            <w:tcW w:w="3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流程显式、状态结构化、节点可替换、工具可治理、结果可审计。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有价值的多 Agent</w:t>
            </w:r>
            <w:r/>
          </w:p>
        </w:tc>
        <w:tc>
          <w:tcPr>
            <w:tcBorders/>
            <w:tcW w:w="35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振动分析 Agent、工况分析 Agent、告警分析 Agent、规程校核 Agent 并行分析，最后统一裁决</w:t>
            </w:r>
            <w:r/>
          </w:p>
        </w:tc>
        <w:tc>
          <w:tcPr>
            <w:tcBorders/>
            <w:tcW w:w="3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角色视角不同、证据来源不同、可并行、可反证，具备工程价值。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因此，平台设计应遵循“流程由 Harness/Flow 控制，能力由 Node/Tool 执行，复杂推理由 Agent 负责”的原则。Agent 不应成为所有业务步骤的默认抽象。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五、建议的平台分层架构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建议采用 Flow-first 的平台架构。其核心不是先定义多个 Agent，而是先定义任务如何进入、流程如何执行、工具如何注册、Skill 如何指导、证据如何追踪、结果如何收口。</w:t>
      </w:r>
      <w:r/>
    </w:p>
    <w:tbl>
      <w:tblPr>
        <w:tblStyle w:val="7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rPr/>
        <w:tc>
          <w:tcPr>
            <w:shd w:val="clear" w:color="auto" w:fill="1f4e79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层级</w:t>
            </w:r>
            <w:r/>
          </w:p>
        </w:tc>
        <w:tc>
          <w:tcPr>
            <w:shd w:val="clear" w:color="auto" w:fill="1f4e79"/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职责</w:t>
            </w:r>
            <w:r/>
          </w:p>
        </w:tc>
        <w:tc>
          <w:tcPr>
            <w:shd w:val="clear" w:color="auto" w:fill="1f4e79"/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说明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TaskHarness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任务入口与任务级控制</w:t>
            </w:r>
            <w:r/>
          </w:p>
        </w:tc>
        <w:tc>
          <w:tcPr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接收用户请求或业务事件，识别任务类型，准备上下文，选择 Flow，注入 Skill/Memory/Policy，控制最大轮次和最终收口。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FlowRuntime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流程运行与执行管理</w:t>
            </w:r>
            <w:r/>
          </w:p>
        </w:tc>
        <w:tc>
          <w:tcPr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加载 Flow，初始化 state，调用 GraphAdapter，统一异常、超时、trace、取消和执行结果。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GraphAdapter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图结构执行</w:t>
            </w:r>
            <w:r/>
          </w:p>
        </w:tc>
        <w:tc>
          <w:tcPr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负责节点执行、条件边、循环控制、状态流转，是强约束流程的执行层。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Node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具体能力单元</w:t>
            </w:r>
            <w:r/>
          </w:p>
        </w:tc>
        <w:tc>
          <w:tcPr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包括数据获取、规则判断、工具调用、LLM 推理、AgentScope 执行器、报告生成等。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ToolRegistry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工具治理</w:t>
            </w:r>
            <w:r/>
          </w:p>
        </w:tc>
        <w:tc>
          <w:tcPr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统一注册工具，管理 schema、权限、风险等级、超时、白名单和可用性。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SkillRegistry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领域方法组织</w:t>
            </w:r>
            <w:r/>
          </w:p>
        </w:tc>
        <w:tc>
          <w:tcPr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通过 SKILL.md 等形式沉淀领域方法、工具策略、推理路径和触发条件。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Trace Engine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过程追踪与审计</w:t>
            </w:r>
            <w:r/>
          </w:p>
        </w:tc>
        <w:tc>
          <w:tcPr>
            <w:tcBorders/>
            <w:tcW w:w="43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记录每个任务、节点、工具调用、参数、结果摘要、模型版本、prompt 版本和最终输出。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Orchestrator 不建议在早期作为独立层强行引入。如果只是执行单个 Flow，应命名为 FlowRuntime；只有在一个任务需要跨多个 Flow 做全局调度、策略选择和资源协调时，才有必要抽象出 Orchestrator。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六、Python 后端与 Java 后端的分工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关于“Python 能不能做后端”的争论，建议不要正面变成语言之争。更稳妥的表述是：Python 做 AI 后端，Java 做业务后端，二者通过标准接口解耦。</w:t>
      </w:r>
      <w:r/>
    </w:p>
    <w:tbl>
      <w:tblPr>
        <w:tblStyle w:val="7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rPr/>
        <w:tc>
          <w:tcPr>
            <w:shd w:val="clear" w:color="auto" w:fill="1f4e79"/>
            <w:tcBorders/>
            <w:tcW w:w="20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职责域</w:t>
            </w:r>
            <w:r/>
          </w:p>
        </w:tc>
        <w:tc>
          <w:tcPr>
            <w:shd w:val="clear" w:color="auto" w:fill="1f4e79"/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建议技术栈</w:t>
            </w:r>
            <w:r/>
          </w:p>
        </w:tc>
        <w:tc>
          <w:tcPr>
            <w:shd w:val="clear" w:color="auto" w:fill="1f4e79"/>
            <w:tcBorders/>
            <w:tcW w:w="40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承担内容</w:t>
            </w:r>
            <w:r/>
          </w:p>
        </w:tc>
      </w:tr>
      <w:tr>
        <w:trPr/>
        <w:tc>
          <w:tcPr>
            <w:shd w:val="clear" w:color="auto" w:fill="eaf2f8"/>
            <w:tcBorders/>
            <w:tcW w:w="20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企业业务后端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Java / Spring 体系</w:t>
            </w:r>
            <w:r/>
          </w:p>
        </w:tc>
        <w:tc>
          <w:tcPr>
            <w:tcBorders/>
            <w:tcW w:w="40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用户登录、组织权限、菜单权限、任务管理、审批流程、业务系统集成、审计展示、报表下载。</w:t>
            </w:r>
            <w:r/>
          </w:p>
        </w:tc>
      </w:tr>
      <w:tr>
        <w:trPr/>
        <w:tc>
          <w:tcPr>
            <w:shd w:val="clear" w:color="auto" w:fill="eaf2f8"/>
            <w:tcBorders/>
            <w:tcW w:w="20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AI Runtime 后端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Python / FastAPI</w:t>
            </w:r>
            <w:r/>
          </w:p>
        </w:tc>
        <w:tc>
          <w:tcPr>
            <w:tcBorders/>
            <w:tcW w:w="40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TaskHarness、FlowRuntime、ToolRegistry、SkillRegistry、LLM 调用、RAG、KG 查询封装、算法分析、报告生成、Trace。</w:t>
            </w:r>
            <w:r/>
          </w:p>
        </w:tc>
      </w:tr>
      <w:tr>
        <w:trPr/>
        <w:tc>
          <w:tcPr>
            <w:shd w:val="clear" w:color="auto" w:fill="eaf2f8"/>
            <w:tcBorders/>
            <w:tcW w:w="20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模型与数据底座</w:t>
            </w:r>
            <w:r/>
          </w:p>
        </w:tc>
        <w:tc>
          <w:tcPr>
            <w:tcBorders/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vLLM/GPUStack、PostgreSQL、Redis、MinIO、Neo4j、Milvus/OpenSearch</w:t>
            </w:r>
            <w:r/>
          </w:p>
        </w:tc>
        <w:tc>
          <w:tcPr>
            <w:tcBorders/>
            <w:tcW w:w="40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模型服务、向量检索、知识图谱、文档库、任务数据、执行记录和中间产物管理。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这种分工能同时满足两个目标：一是利用 Python 在 LLM、RAG、算法分析和智能体编排上的生态优势；二是保留 Java 在企业后端、安全治理和系统集成上的组织基础。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七、Python 服务安全与代码安全治理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Python 安全问题需要承认，但不能被简单化为“Python 不安全”。真正需要控制的是智能体系统具备工具调用、代码执行、文件访问、外部接口访问和数据分析能力后带来的越权风险。</w:t>
      </w:r>
      <w:r/>
    </w:p>
    <w:tbl>
      <w:tblPr>
        <w:tblStyle w:val="7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rPr/>
        <w:tc>
          <w:tcPr>
            <w:shd w:val="clear" w:color="auto" w:fill="1f4e79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安全层面</w:t>
            </w:r>
            <w:r/>
          </w:p>
        </w:tc>
        <w:tc>
          <w:tcPr>
            <w:shd w:val="clear" w:color="auto" w:fill="1f4e79"/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主要风险</w:t>
            </w:r>
            <w:r/>
          </w:p>
        </w:tc>
        <w:tc>
          <w:tcPr>
            <w:shd w:val="clear" w:color="auto" w:fill="1f4e79"/>
            <w:tcBorders/>
            <w:tcW w:w="3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建议措施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网络隔离</w:t>
            </w:r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Python 服务被前端或外部系统绕过 Java 直接访问</w:t>
            </w:r>
            <w:r/>
          </w:p>
        </w:tc>
        <w:tc>
          <w:tcPr>
            <w:tcBorders/>
            <w:tcW w:w="3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Python AI Runtime 部署在内网，只允许 Java 后端、API 网关或任务调度服务调用。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接口鉴权</w:t>
            </w:r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内网裸接口被滥用</w:t>
            </w:r>
            <w:r/>
          </w:p>
        </w:tc>
        <w:tc>
          <w:tcPr>
            <w:tcBorders/>
            <w:tcW w:w="3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服务间 token、请求签名或 mTLS；记录调用方、任务、用户和权限范围。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工具白名单</w:t>
            </w:r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智能体越权调用工具</w:t>
            </w:r>
            <w:r/>
          </w:p>
        </w:tc>
        <w:tc>
          <w:tcPr>
            <w:tcBorders/>
            <w:tcW w:w="3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每个工具声明 domain、permission_scope、input_schema、risk_level、timeout、requires_approval。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沙箱隔离</w:t>
            </w:r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动态脚本或 Skill 代码影响主服务</w:t>
            </w:r>
            <w:r/>
          </w:p>
        </w:tc>
        <w:tc>
          <w:tcPr>
            <w:tcBorders/>
            <w:tcW w:w="3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代码执行进入独立容器或受限子进程，限制网络、文件、CPU、内存和执行时长。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数据最小化</w:t>
            </w:r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AI 服务拿到超范围数据</w:t>
            </w:r>
            <w:r/>
          </w:p>
        </w:tc>
        <w:tc>
          <w:tcPr>
            <w:tcBorders/>
            <w:tcW w:w="3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由 Java 或数据服务先做权限过滤、字段脱敏和时间窗口裁剪。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全链路审计</w:t>
            </w:r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无法复盘智能体行为</w:t>
            </w:r>
            <w:r/>
          </w:p>
        </w:tc>
        <w:tc>
          <w:tcPr>
            <w:tcBorders/>
            <w:tcW w:w="3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记录 task_id、user_id、flow_id、skill_id、tool_call、tool_args、结果摘要、模型版本和最终输出。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需要特别强调：容器化不是保险箱。Docker 能规范交付和降低环境污染，但只要拥有服务器或 Docker 权限，就可以进入容器、导出镜像或查看文件。因此，代码安全不能只依赖容器，而应依赖权限收口、镜像仓库管控、生产环境 exec 审计、最小权限和关键能力服务化。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八、架构资产保护策略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本项目最重要的资产不是几个算法函数，而是平台架构本身。特征计算、评分公式、诊断规则可以被替换，真正有价值的是 TaskHarness、FlowRuntime、ToolRegistry、SkillRegistry、Flow as Tool、Trace 和业务闭环的抽象方式。</w:t>
      </w:r>
      <w:r/>
    </w:p>
    <w:tbl>
      <w:tblPr>
        <w:tblStyle w:val="7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rPr/>
        <w:tc>
          <w:tcPr>
            <w:shd w:val="clear" w:color="auto" w:fill="1f4e79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资产类型</w:t>
            </w:r>
            <w:r/>
          </w:p>
        </w:tc>
        <w:tc>
          <w:tcPr>
            <w:shd w:val="clear" w:color="auto" w:fill="1f4e79"/>
            <w:tcBorders/>
            <w:tcW w:w="24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保护方式</w:t>
            </w:r>
            <w:r/>
          </w:p>
        </w:tc>
        <w:tc>
          <w:tcPr>
            <w:shd w:val="clear" w:color="auto" w:fill="1f4e79"/>
            <w:tcBorders/>
            <w:tcW w:w="41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说明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平台内核</w:t>
            </w:r>
            <w:r/>
          </w:p>
        </w:tc>
        <w:tc>
          <w:tcPr>
            <w:tcBorders/>
            <w:tcW w:w="24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权限收口 + 服务化部署</w:t>
            </w:r>
            <w:r/>
          </w:p>
        </w:tc>
        <w:tc>
          <w:tcPr>
            <w:tcBorders/>
            <w:tcW w:w="41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FlowRuntime、GraphAdapter、ToolRegistry、Trace Engine 不作为普通脚本散落交付。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业务配置</w:t>
            </w:r>
            <w:r/>
          </w:p>
        </w:tc>
        <w:tc>
          <w:tcPr>
            <w:tcBorders/>
            <w:tcW w:w="24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可开放但受控</w:t>
            </w:r>
            <w:r/>
          </w:p>
        </w:tc>
        <w:tc>
          <w:tcPr>
            <w:tcBorders/>
            <w:tcW w:w="41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FlowSpec、Skill.md、ToolSpec 可让业务扩展，但要经过审核和版本管理。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接口协议</w:t>
            </w:r>
            <w:r/>
          </w:p>
        </w:tc>
        <w:tc>
          <w:tcPr>
            <w:tcBorders/>
            <w:tcW w:w="24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标准化沉淀</w:t>
            </w:r>
            <w:r/>
          </w:p>
        </w:tc>
        <w:tc>
          <w:tcPr>
            <w:tcBorders/>
            <w:tcW w:w="41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定义 AgentTask、FlowSpec、NodeSpec、ToolSpec、SkillSpec、TraceEvent、ExecutionResult。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汇报材料</w:t>
            </w:r>
            <w:r/>
          </w:p>
        </w:tc>
        <w:tc>
          <w:tcPr>
            <w:tcBorders/>
            <w:tcW w:w="24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讲概念，不交实现</w:t>
            </w:r>
            <w:r/>
          </w:p>
        </w:tc>
        <w:tc>
          <w:tcPr>
            <w:tcBorders/>
            <w:tcW w:w="41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展示分层、能力和效果，不暴露关键类图、注册机制、状态模型和代码实现。</w:t>
            </w:r>
            <w:r/>
          </w:p>
        </w:tc>
      </w:tr>
      <w:tr>
        <w:trPr/>
        <w:tc>
          <w:tcPr>
            <w:shd w:val="clear" w:color="auto" w:fill="eaf2f8"/>
            <w:tcBorders/>
            <w:tcW w:w="1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外部交付</w:t>
            </w:r>
            <w:r/>
          </w:p>
        </w:tc>
        <w:tc>
          <w:tcPr>
            <w:tcBorders/>
            <w:tcW w:w="24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API 化优先</w:t>
            </w:r>
            <w:r/>
          </w:p>
        </w:tc>
        <w:tc>
          <w:tcPr>
            <w:tcBorders/>
            <w:tcW w:w="41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如果存在对外交付，尽量交付服务能力，而不是完整平台内核源码。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对于架构资产而言，编译、混淆、Cython、Nuitka 或 Rust/C++ 封装只能提高部分代码逆向成本，不能保护架构思想。真正有效的是平台化、协议化、服务化和权限边界。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九、推荐实施路线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建议采用“三阶段”推进，既回应领导对交付风险的担心，又保留自有平台主导权。</w:t>
      </w:r>
      <w:r/>
    </w:p>
    <w:tbl>
      <w:tblPr>
        <w:tblStyle w:val="7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rPr/>
        <w:tc>
          <w:tcPr>
            <w:shd w:val="clear" w:color="auto" w:fill="1f4e79"/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阶段</w:t>
            </w:r>
            <w:r/>
          </w:p>
        </w:tc>
        <w:tc>
          <w:tcPr>
            <w:shd w:val="clear" w:color="auto" w:fill="1f4e79"/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目标</w:t>
            </w:r>
            <w:r/>
          </w:p>
        </w:tc>
        <w:tc>
          <w:tcPr>
            <w:shd w:val="clear" w:color="auto" w:fill="1f4e79"/>
            <w:tcBorders/>
            <w:tcW w:w="4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交付内容</w:t>
            </w:r>
            <w:r/>
          </w:p>
        </w:tc>
      </w:tr>
      <w:tr>
        <w:trPr/>
        <w:tc>
          <w:tcPr>
            <w:shd w:val="clear" w:color="auto" w:fill="eaf2f8"/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阶段一：验证期</w:t>
            </w:r>
            <w:r/>
          </w:p>
        </w:tc>
        <w:tc>
          <w:tcPr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证明链路能跑通</w:t>
            </w:r>
            <w:r/>
          </w:p>
        </w:tc>
        <w:tc>
          <w:tcPr>
            <w:tcBorders/>
            <w:tcW w:w="4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选取一个典型任务，如新能源场站运行评估或风机振动异常诊断；用 Python AI Runtime 跑通 TaskHarness、FlowRuntime、ToolRegistry、Skill 和 Trace；同时用 AgentScope 做一个对照验证。</w:t>
            </w:r>
            <w:r/>
          </w:p>
        </w:tc>
      </w:tr>
      <w:tr>
        <w:trPr/>
        <w:tc>
          <w:tcPr>
            <w:shd w:val="clear" w:color="auto" w:fill="eaf2f8"/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阶段二：平台抽象期</w:t>
            </w:r>
            <w:r/>
          </w:p>
        </w:tc>
        <w:tc>
          <w:tcPr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沉淀自有标准</w:t>
            </w:r>
            <w:r/>
          </w:p>
        </w:tc>
        <w:tc>
          <w:tcPr>
            <w:tcBorders/>
            <w:tcW w:w="4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固化 AgentTask、FlowSpec、ToolSpec、SkillSpec、TraceEvent；完成工具自动注册、Skill 加载、Flow as Tool 和任务追踪。AgentScope 作为可插拔执行节点接入。</w:t>
            </w:r>
            <w:r/>
          </w:p>
        </w:tc>
      </w:tr>
      <w:tr>
        <w:trPr/>
        <w:tc>
          <w:tcPr>
            <w:shd w:val="clear" w:color="auto" w:fill="eaf2f8"/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阶段三：工程化期</w:t>
            </w:r>
            <w:r/>
          </w:p>
        </w:tc>
        <w:tc>
          <w:tcPr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对接企业后端和安全治理</w:t>
            </w:r>
            <w:r/>
          </w:p>
        </w:tc>
        <w:tc>
          <w:tcPr>
            <w:tcBorders/>
            <w:tcW w:w="4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 xml:space="preserve">Java 业务后端接管用户、权限、任务列表、审批、审计展示；Python 侧作为 AI Runtime 服务；高风险工具加入人工确认和审批闭环。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十、对领导和研发团队的建议表述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建议对外采用“接受 AgentScope，但不绑定 AgentScope”的表达方式，避免形成路线对抗。可以直接使用以下口径：</w:t>
      </w:r>
      <w:r/>
    </w:p>
    <w:p>
      <w:pPr>
        <w:pBdr/>
        <w:spacing w:after="160" w:before="80"/>
        <w:ind w:right="227" w:left="340"/>
        <w:rPr/>
      </w:pPr>
      <w:r>
        <w:rPr>
          <w:rFonts w:ascii="Noto Sans CJK SC" w:hAnsi="Noto Sans CJK SC" w:eastAsia="Noto Sans CJK SC"/>
          <w:i/>
          <w:color w:val="595959"/>
          <w:sz w:val="21"/>
        </w:rPr>
        <w:t xml:space="preserve">建议采用“AgentScope 验证 + 自研平台抽象”的路线：短期用 AgentScope 快速完成样例验证，证明智能体链路能跑通；中期将任务编排、工具注册、Skill、Flow as Tool、权限审计、业务接口等能力沉淀为公司自有平台接口；长期保持底层 Agent Runtime 可替换，避免业务系统与单一开源框架强绑定。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这套表述的优势在于：领导能看到短期风险控制，研发能接受开源框架参与，平台负责人仍然掌握业务架构和协议主导权。</w:t>
      </w:r>
      <w:r/>
    </w:p>
    <w:p>
      <w:pPr>
        <w:pStyle w:val="704"/>
        <w:pBdr/>
        <w:spacing w:after="100" w:before="200"/>
        <w:ind/>
        <w:rPr/>
      </w:pPr>
      <w:r>
        <w:rPr>
          <w:rFonts w:ascii="Noto Sans CJK SC" w:hAnsi="Noto Sans CJK SC" w:eastAsia="Noto Sans CJK SC"/>
          <w:color w:val="1f4e79"/>
        </w:rPr>
        <w:t xml:space="preserve">十一、结论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本项目不应被定义为“选择 AgentScope 还是自研”的二选一问题，而应被定义为“如何建设可控、可扩展、可审计的电力业务智能体平台”。AgentScope 可以作为验证框架、执行器或运行组件，但平台核心应沉淀在自有 TaskHarness、FlowRuntime、ToolRegistry、SkillRegistry、Flow as Tool 和 Trace 体系中。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多 Agent 不是平台先进性的标志。先进性体现在外层 Harness 对任务、上下文、工具、权限、流程和审计的统一控制。稳定业务步骤应沉淀为 Node/Tool，复杂推理和多视角协同才交给 Agent。</w:t>
      </w:r>
      <w:r/>
    </w:p>
    <w:p>
      <w:pPr>
        <w:pBdr/>
        <w:spacing w:after="120" w:line="283" w:lineRule="auto"/>
        <w:ind w:firstLine="420"/>
        <w:rPr/>
      </w:pPr>
      <w:r>
        <w:rPr>
          <w:rFonts w:ascii="Noto Sans CJK SC" w:hAnsi="Noto Sans CJK SC" w:eastAsia="Noto Sans CJK SC"/>
          <w:b w:val="0"/>
        </w:rPr>
        <w:t xml:space="preserve">Python 可以承担 AI Runtime，但安全边界和企业业务后端应由 Java 与统一网关承接。Python 服务必须受控部署、最小权限、工具白名单、沙箱执行和全链路审计。架构资产保护不能依赖简单编译或容器化，而应依赖服务化、协议化、权限治理和内核实现收口。</w:t>
      </w:r>
      <w:r/>
    </w:p>
    <w:p>
      <w:pPr>
        <w:pBdr/>
        <w:spacing w:after="120" w:line="283" w:lineRule="auto"/>
        <w:ind/>
        <w:rPr/>
      </w:pPr>
      <w:r>
        <w:rPr>
          <w:rFonts w:ascii="Noto Sans CJK SC" w:hAnsi="Noto Sans CJK SC" w:eastAsia="Noto Sans CJK SC"/>
          <w:b/>
          <w:color w:val="1f4e79"/>
          <w:sz w:val="23"/>
        </w:rPr>
        <w:t xml:space="preserve">最终建议路线为：Python 先快速跑通核心智能体执行底座，Java 后续承接企业业务壳和安全治理，AgentScope 作为可插拔执行器参与验证，平台标准与业务架构保持自有可控。</w:t>
      </w:r>
      <w:r/>
    </w:p>
    <w:sectPr>
      <w:footerReference w:type="default" r:id="rId9"/>
      <w:footnotePr/>
      <w:endnotePr/>
      <w:type w:val="nextPage"/>
      <w:pgSz w:h="15840" w:orient="portrait" w:w="12240"/>
      <w:pgMar w:top="1247" w:right="1247" w:bottom="1020" w:left="124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Noto Sans CJK SC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r>
      <w:rPr>
        <w:rFonts w:ascii="Noto Sans CJK SC" w:hAnsi="Noto Sans CJK SC" w:eastAsia="Noto Sans CJK SC"/>
        <w:color w:val="787878"/>
        <w:sz w:val="17"/>
      </w:rPr>
      <w:t xml:space="preserve">内部讨论稿｜智能体平台技术路线建议</w:t>
    </w:r>
    <w:r>
      <w:rPr>
        <w:rFonts w:ascii="Noto Sans CJK SC" w:hAnsi="Noto Sans CJK SC" w:eastAsia="Noto Sans CJK SC"/>
        <w:color w:val="787878"/>
        <w:sz w:val="17"/>
      </w:rPr>
      <w:t xml:space="preserve">内部讨论稿｜智能体平台技术路线建议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none"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/>
      <w:ind/>
    </w:pPr>
    <w:rPr>
      <w:rFonts w:ascii="Noto Sans CJK SC" w:hAnsi="Noto Sans CJK SC" w:eastAsia="Noto Sans CJK SC"/>
      <w:sz w:val="21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Noto Sans CJK SC" w:hAnsi="Noto Sans CJK SC" w:eastAsia="Noto Sans CJK SC"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Noto Sans CJK SC" w:hAnsi="Noto Sans CJK SC" w:eastAsia="Noto Sans CJK SC" w:asciiTheme="majorHAnsi" w:hAnsiTheme="majorHAnsi" w:eastAsiaTheme="majorEastAsia" w:cstheme="majorBidi"/>
      <w:b/>
      <w:bCs/>
      <w:color w:val="4f81bd" w:themeColor="accent1"/>
      <w:sz w:val="25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Noto Sans CJK SC" w:hAnsi="Noto Sans CJK SC" w:eastAsia="Noto Sans CJK SC" w:asciiTheme="majorHAnsi" w:hAnsiTheme="majorHAnsi" w:eastAsiaTheme="majorEastAsia" w:cstheme="majorBidi"/>
      <w:b/>
      <w:bCs/>
      <w:color w:val="4f81bd" w:themeColor="accent1"/>
      <w:sz w:val="23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  <w:rPr>
      <w:rFonts w:ascii="Noto Sans CJK SC" w:hAnsi="Noto Sans CJK SC" w:eastAsia="Noto Sans CJK SC"/>
      <w:sz w:val="21"/>
    </w:r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怡氧 Office/9.1.0.0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2026-05-28T07:36:47Z</dcterms:modified>
  <cp:category/>
</cp:coreProperties>
</file>