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Executive Summary</w:t>
      </w:r>
    </w:p>
    <w:p>
      <w:r>
        <w:t>This opening paragraph is intentionally long to test line wrapping and paragraph reconstruction across extraction methods.</w:t>
      </w:r>
      <w:r>
        <w:t xml:space="preserve"> Additional wrapped content for extraction quality checks.</w:t>
      </w:r>
    </w:p>
    <w:p>
      <w:r>
        <w:t>This second paragraph follows after extra spacing and should remain a separate paragraph in JSON.</w:t>
      </w:r>
    </w:p>
    <w:p>
      <w:pPr>
        <w:pStyle w:val="Heading2"/>
      </w:pPr>
      <w:r>
        <w:t>1.1 Scope &amp; Constraints</w:t>
      </w:r>
    </w:p>
    <w:p>
      <w:r>
        <w:t>Constraint A: Inputs may include mixed numbering schemes, punctuation, and short heading-like phrases.</w:t>
      </w:r>
    </w:p>
    <w:p>
      <w:r>
        <w:t>Constraint B: Some paragraphs contain inline markers and emphasized terms that should still map correctly.</w:t>
      </w:r>
    </w:p>
    <w:p>
      <w:pPr>
        <w:pStyle w:val="Heading3"/>
      </w:pPr>
      <w:r>
        <w:t>1.1.1 Edge Cases</w:t>
      </w:r>
    </w:p>
    <w:p>
      <w:r>
        <w:t>Edge case paragraph one includes dates (2026-06-02), symbols (%,$,#), and parenthetical notes (alpha, beta).</w:t>
      </w:r>
    </w:p>
    <w:p>
      <w:r>
        <w:t>Edge case paragraph two is short.</w:t>
      </w:r>
    </w:p>
    <w:p>
      <w:pPr>
        <w:pStyle w:val="Heading1"/>
      </w:pPr>
      <w:r>
        <w:t>2. Findings</w:t>
      </w:r>
    </w:p>
    <w:p>
      <w:r>
        <w:t>Findings paragraph one appears on a later page in PDF to test page transition behavior.</w:t>
      </w:r>
      <w:r>
        <w:t xml:space="preserve"> Additional wrapped content for extraction quality checks.</w:t>
      </w:r>
    </w:p>
    <w:p>
      <w:r>
        <w:t>Findings paragraph two concludes the challenging sample.</w:t>
      </w:r>
    </w:p>
    <w:p>
      <w:pPr>
        <w:pStyle w:val="Heading2"/>
      </w:pPr>
      <w:r>
        <w:t>Appendix A. Styled Tokens</w:t>
      </w:r>
    </w:p>
    <w:p>
      <w:r>
        <w:t xml:space="preserve">Token A: </w:t>
      </w:r>
      <w:r>
        <w:rPr>
          <w:b/>
          <w:i/>
          <w:color w:val="0000FF"/>
        </w:rPr>
        <w:t>BlueBoldItalicMarker.</w:t>
      </w:r>
    </w:p>
    <w:p>
      <w:r>
        <w:t xml:space="preserve">Token B: </w:t>
      </w:r>
      <w:r>
        <w:rPr>
          <w:b/>
          <w:i/>
          <w:color w:val="1446C8"/>
        </w:rPr>
        <w:t>BlueBoldItalicMarkerSecondary.</w:t>
      </w:r>
    </w:p>
    <w:p>
      <w:pPr>
        <w:pStyle w:val="Heading2"/>
      </w:pPr>
      <w:r>
        <w:t>Appendix B. Rich Typography</w:t>
      </w:r>
    </w:p>
    <w:p>
      <w:r>
        <w:t xml:space="preserve">Mixed style line: </w:t>
      </w:r>
      <w:r>
        <w:rPr>
          <w:b/>
          <w:color w:val="B41414"/>
          <w:sz w:val="32"/>
        </w:rPr>
        <w:t>LargeRedBold</w:t>
      </w:r>
      <w:r>
        <w:t xml:space="preserve"> | </w:t>
      </w:r>
      <w:r>
        <w:rPr>
          <w:i/>
          <w:color w:val="1E8C3C"/>
          <w:sz w:val="20"/>
        </w:rPr>
        <w:t>SmallGreenItalic</w:t>
      </w:r>
      <w:r>
        <w:t xml:space="preserve"> | </w:t>
      </w:r>
      <w:r>
        <w:rPr>
          <w:color w:val="0050B4"/>
          <w:u w:val="single"/>
        </w:rPr>
        <w:t>UnderlinedBlue</w:t>
      </w:r>
    </w:p>
    <w:p>
      <w:r>
        <w:t>Chemistry and math: H</w:t>
      </w:r>
      <w:r>
        <w:rPr>
          <w:vertAlign w:val="subscript"/>
        </w:rPr>
        <w:t>2</w:t>
      </w:r>
      <w:r>
        <w:t>O and E = mc</w:t>
      </w:r>
      <w:r>
        <w:rPr>
          <w:vertAlign w:val="superscript"/>
        </w:rPr>
        <w:t>2</w:t>
      </w:r>
      <w:r>
        <w:t>.</w:t>
      </w:r>
    </w:p>
    <w:p>
      <w:r>
        <w:t>Financial notation: Total = $</w:t>
      </w:r>
      <w:r>
        <w:rPr>
          <w:b/>
          <w:color w:val="5A3C0A"/>
        </w:rPr>
        <w:t>1,250</w:t>
      </w:r>
      <w:r>
        <w:t xml:space="preserve"> (USD)</w:t>
      </w:r>
    </w:p>
    <w:p>
      <w:pPr>
        <w:pStyle w:val="Heading2"/>
      </w:pPr>
      <w:r>
        <w:t>Appendix C. Data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Q2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$1250</w:t>
            </w:r>
          </w:p>
        </w:tc>
        <w:tc>
          <w:tcPr>
            <w:tcW w:type="dxa" w:w="2880"/>
          </w:tcPr>
          <w:p>
            <w:r>
              <w:t>$1430</w:t>
            </w:r>
          </w:p>
        </w:tc>
      </w:tr>
      <w:tr>
        <w:tc>
          <w:tcPr>
            <w:tcW w:type="dxa" w:w="2880"/>
          </w:tcPr>
          <w:p>
            <w:r>
              <w:t>Growth</w:t>
            </w:r>
          </w:p>
        </w:tc>
        <w:tc>
          <w:tcPr>
            <w:tcW w:type="dxa" w:w="2880"/>
          </w:tcPr>
          <w:p>
            <w:r>
              <w:t>6.2%</w:t>
            </w:r>
          </w:p>
        </w:tc>
        <w:tc>
          <w:tcPr>
            <w:tcW w:type="dxa" w:w="2880"/>
          </w:tcPr>
          <w:p>
            <w:r>
              <w:t>7.8%</w:t>
            </w:r>
          </w:p>
        </w:tc>
      </w:tr>
      <w:tr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Pilot</w:t>
            </w:r>
          </w:p>
        </w:tc>
        <w:tc>
          <w:tcPr>
            <w:tcW w:type="dxa" w:w="2880"/>
          </w:tcPr>
          <w:p>
            <w:r>
              <w:t>Scale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