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Brodie Lewis Python Technical Report:</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Crafting my technical portfolio entailed a deliberate process of implementing theoretical knowledge gained from Python programming coursework into a tangible showcase. The portfolio was curated not only to exhibit proficiency but also to reflect a comprehensive understanding of fundamental data structures in Python.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inclusion of tuple manipulation, for example, demonstrated my grasp of sequences and immutability. Dictionaries, on the other hand, illustrated my capability to manage dynamic data via key-value pairings. These structures were chosen for their foundational role in Python and their ubiquity in programming tasks requiring data organization and retrieval.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educational value of the portfolio was further enhanced by the inclusion of code annotations and documentation, reinforcing the importance of clarity and maintainability. This not only facilitated a demonstration of my technical skills but also underscored the importance of writing code that adheres to best practices and is accessible to other developers.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addition to showcasing coding proficiency, the portfolio served as a reflective tool, enabling me to evaluate my learning trajectory and the application of theoretical knowledge to practical challenges. It also provided an opportunity to articulate the rationale behind my project selections, each chosen for its educational significance and the specific programming concepts it exemplified.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 conclusion, this portfolio is not merely a collection of completed assignments; it is a curated exhibition of my educational journey through coding. It underscores my readiness to engage with complex programming tasks and signifies my commitment to continual learning and improvement within the sphere of technology.</w:t>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