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lancet.xml" ContentType="application/vnd.openxmlformats-officedocument.wordprocessingml.footer+xml"/>
  <Override PartName="/word/media/rId112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6.png" ContentType="image/png"/>
  <Override PartName="/word/media/rId5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appendix</w:t>
      </w:r>
    </w:p>
    <w:p>
      <w:pPr>
        <w:pStyle w:val="Subtitle"/>
      </w:pPr>
      <w:r>
        <w:t xml:space="preserve">Post-transplant cyclophosphamide as graft-versus-host disease prophylaxis after allogeneic haematopoietic stem-cell transplantation: a systematic review and Bayesian meta-analysis of infection risk</w:t>
      </w:r>
    </w:p>
    <w:p>
      <w:pPr>
        <w:pStyle w:val="Author"/>
      </w:pPr>
      <w:r>
        <w:t xml:space="preserve">Marta Stanzani</w:t>
      </w:r>
    </w:p>
    <w:p>
      <w:pPr>
        <w:pStyle w:val="Author"/>
      </w:pPr>
      <w:r>
        <w:t xml:space="preserve">Dimitrios P Kontoyiannis</w:t>
      </w:r>
    </w:p>
    <w:p>
      <w:pPr>
        <w:pStyle w:val="Author"/>
      </w:pPr>
      <w:r>
        <w:t xml:space="preserve">Russell E Lewis</w:t>
      </w:r>
    </w:p>
    <w:p>
      <w:pPr>
        <w:pStyle w:val="FirstParagraph"/>
      </w:pPr>
      <w:r>
        <w:t xml:space="preserve">This appendix forms part of the article and has not been edited by the journal. It is</w:t>
      </w:r>
      <w:r>
        <w:t xml:space="preserve"> </w:t>
      </w:r>
      <w:r>
        <w:t xml:space="preserve">referenced in the main text as</w:t>
      </w:r>
      <w:r>
        <w:t xml:space="preserve"> </w:t>
      </w:r>
      <w:r>
        <w:t xml:space="preserve">“the appendix”</w:t>
      </w:r>
      <w:r>
        <w:t xml:space="preserve">.</w:t>
      </w:r>
    </w:p>
    <w:p>
      <w:pPr>
        <w:pStyle w:val="BodyText"/>
      </w:pPr>
      <w:r>
        <w:t xml:space="preserve">All results reported in this appendix are from the cohort-deduplicated (Set B)</w:t>
      </w:r>
      <w:r>
        <w:t xml:space="preserve"> </w:t>
      </w:r>
      <w:r>
        <w:t xml:space="preserve">analysis, in which one publication per cohort contributes to each outcome.</w:t>
      </w:r>
    </w:p>
    <w:bookmarkStart w:id="13" w:name="s1.-search-strategy"/>
    <w:p>
      <w:pPr>
        <w:pStyle w:val="Heading2"/>
      </w:pPr>
      <w:r>
        <w:t xml:space="preserve">S1. Search strategy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1-paramet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Search parameters.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465"/>
              <w:gridCol w:w="44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Field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Databases searched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PubMed/MEDLINE, EMBASE (Elsevier), SCOPUS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Search dates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Database inception to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[FINAL SEARCH DATE — to be taken from the Covidence/RIS export log]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Records retrieved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PubMed 1061; EMBASE 2603; SCOPUS 481 (total 4145)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Date limits applied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[to be confirmed — sources conflict]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Language limit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Publication types excluded via filter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None. Conference abstracts, editorials, letters, and case reports were excluded at screening rather than by search filter, to minimise inappropriate exclusion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 sources searched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 list screening of included studies and prior systematic reviews; forward citation tracking (Web of Science) for key index publications; PROSPERO search for related and ongoing reviews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Deduplication and management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RIS export from each database, imported into Covidence for deduplication and screening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Search piloted against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Eight known included publications (Holtan 2022, Moiseev 2016, Tang 2023, Papanicolaou 2023, Salas 2023, Massoud 2021, Meyer 2024, Shaffer 2024) to verify recall</w:t>
                  </w:r>
                </w:p>
              </w:tc>
            </w:tr>
          </w:tbl>
          <w:bookmarkEnd w:id="9"/>
          <w:p/>
        </w:tc>
      </w:tr>
    </w:tbl>
    <w:p>
      <w:pPr>
        <w:pStyle w:val="BodyText"/>
      </w:pPr>
      <w:r>
        <w:t xml:space="preserve">The protocol specifies three concept blocks combined with AND, each block an OR of</w:t>
      </w:r>
      <w:r>
        <w:t xml:space="preserve"> </w:t>
      </w:r>
      <w:r>
        <w:t xml:space="preserve">controlled vocabulary terms and free-text synonyms.</w:t>
      </w:r>
    </w:p>
    <w:bookmarkStart w:id="10" w:name="pubmedmedline"/>
    <w:p>
      <w:pPr>
        <w:pStyle w:val="Heading3"/>
      </w:pPr>
      <w:r>
        <w:t xml:space="preserve">PubMed/MEDLINE</w:t>
      </w:r>
    </w:p>
    <w:p>
      <w:pPr>
        <w:pStyle w:val="SourceCode"/>
      </w:pPr>
      <w:r>
        <w:rPr>
          <w:rStyle w:val="VerbatimChar"/>
        </w:rPr>
        <w:t xml:space="preserve">#1  Allogeneic HCT population</w:t>
      </w:r>
      <w:r>
        <w:br/>
      </w:r>
      <w:r>
        <w:rPr>
          <w:rStyle w:val="VerbatimChar"/>
        </w:rPr>
        <w:t xml:space="preserve">    ("Hematopoietic Stem Cell Transplantation"[Mesh] OR "Bone Marrow Transplantation"[Mesh]</w:t>
      </w:r>
      <w:r>
        <w:br/>
      </w:r>
      <w:r>
        <w:rPr>
          <w:rStyle w:val="VerbatimChar"/>
        </w:rPr>
        <w:t xml:space="preserve">     OR "allogeneic stem cell transplant*"[tiab] OR "allo-HCT"[tiab] OR "allo-HSCT"[tiab]</w:t>
      </w:r>
      <w:r>
        <w:br/>
      </w:r>
      <w:r>
        <w:rPr>
          <w:rStyle w:val="VerbatimChar"/>
        </w:rPr>
        <w:t xml:space="preserve">     OR "haploidentical"[tiab] OR "HLA-matched"[tiab] OR "matched unrelated donor"[tiab]</w:t>
      </w:r>
      <w:r>
        <w:br/>
      </w:r>
      <w:r>
        <w:rPr>
          <w:rStyle w:val="VerbatimChar"/>
        </w:rPr>
        <w:t xml:space="preserve">     OR "mismatched unrelated donor"[tiab])</w:t>
      </w:r>
      <w:r>
        <w:br/>
      </w:r>
      <w:r>
        <w:br/>
      </w:r>
      <w:r>
        <w:rPr>
          <w:rStyle w:val="VerbatimChar"/>
        </w:rPr>
        <w:t xml:space="preserve">#2  PTCy intervention</w:t>
      </w:r>
      <w:r>
        <w:br/>
      </w:r>
      <w:r>
        <w:rPr>
          <w:rStyle w:val="VerbatimChar"/>
        </w:rPr>
        <w:t xml:space="preserve">    ("post-transplant cyclophosphamide"[tiab] OR "post-transplantation cyclophosphamide"[tiab]</w:t>
      </w:r>
      <w:r>
        <w:br/>
      </w:r>
      <w:r>
        <w:rPr>
          <w:rStyle w:val="VerbatimChar"/>
        </w:rPr>
        <w:t xml:space="preserve">     OR "posttransplant cyclophosphamide"[tiab] OR "posttransplantation cyclophosphamide"[tiab]</w:t>
      </w:r>
      <w:r>
        <w:br/>
      </w:r>
      <w:r>
        <w:rPr>
          <w:rStyle w:val="VerbatimChar"/>
        </w:rPr>
        <w:t xml:space="preserve">     OR "PTCy"[tiab] OR "PT-Cy"[tiab] OR "PTCY"[tiab]</w:t>
      </w:r>
      <w:r>
        <w:br/>
      </w:r>
      <w:r>
        <w:rPr>
          <w:rStyle w:val="VerbatimChar"/>
        </w:rPr>
        <w:t xml:space="preserve">     OR ("Cyclophosphamide"[Mesh] AND "Graft vs Host Disease"[Mesh]))</w:t>
      </w:r>
      <w:r>
        <w:br/>
      </w:r>
      <w:r>
        <w:br/>
      </w:r>
      <w:r>
        <w:rPr>
          <w:rStyle w:val="VerbatimChar"/>
        </w:rPr>
        <w:t xml:space="preserve">#3  Infection outcomes</w:t>
      </w:r>
      <w:r>
        <w:br/>
      </w:r>
      <w:r>
        <w:rPr>
          <w:rStyle w:val="VerbatimChar"/>
        </w:rPr>
        <w:t xml:space="preserve">    ("Infections"[Mesh] OR "Bacterial Infections"[Mesh] OR "Virus Diseases"[Mesh]</w:t>
      </w:r>
      <w:r>
        <w:br/>
      </w:r>
      <w:r>
        <w:rPr>
          <w:rStyle w:val="VerbatimChar"/>
        </w:rPr>
        <w:t xml:space="preserve">     OR "Mycoses"[Mesh] OR "Bacteremia"[Mesh] OR "Sepsis"[Mesh]</w:t>
      </w:r>
      <w:r>
        <w:br/>
      </w:r>
      <w:r>
        <w:rPr>
          <w:rStyle w:val="VerbatimChar"/>
        </w:rPr>
        <w:t xml:space="preserve">     OR "Cytomegalovirus Infections"[Mesh] OR "Invasive Fungal Infections"[Mesh]</w:t>
      </w:r>
      <w:r>
        <w:br/>
      </w:r>
      <w:r>
        <w:rPr>
          <w:rStyle w:val="VerbatimChar"/>
        </w:rPr>
        <w:t xml:space="preserve">     OR "bacterial infection*"[tiab] OR "viral infection*"[tiab] OR "fungal infection*"[tiab]</w:t>
      </w:r>
      <w:r>
        <w:br/>
      </w:r>
      <w:r>
        <w:rPr>
          <w:rStyle w:val="VerbatimChar"/>
        </w:rPr>
        <w:t xml:space="preserve">     OR "BSI"[tiab] OR "sepsis"[tiab] OR "CMV"[tiab] OR "EBV"[tiab] OR "HHV-6"[tiab]</w:t>
      </w:r>
      <w:r>
        <w:br/>
      </w:r>
      <w:r>
        <w:rPr>
          <w:rStyle w:val="VerbatimChar"/>
        </w:rPr>
        <w:t xml:space="preserve">     OR "BK virus"[tiab] OR "aspergillosis"[tiab] OR "candida"[tiab] OR "mucormycosis"[tiab]</w:t>
      </w:r>
      <w:r>
        <w:br/>
      </w:r>
      <w:r>
        <w:rPr>
          <w:rStyle w:val="VerbatimChar"/>
        </w:rPr>
        <w:t xml:space="preserve">     OR "mold"[tiab] OR "yeast"[tiab] OR "mortality"[tiab])</w:t>
      </w:r>
      <w:r>
        <w:br/>
      </w:r>
      <w:r>
        <w:br/>
      </w:r>
      <w:r>
        <w:rPr>
          <w:rStyle w:val="VerbatimChar"/>
        </w:rPr>
        <w:t xml:space="preserve">#4  #1 AND #2 AND #3</w:t>
      </w:r>
      <w:r>
        <w:br/>
      </w:r>
      <w:r>
        <w:rPr>
          <w:rStyle w:val="VerbatimChar"/>
        </w:rPr>
        <w:t xml:space="preserve">    Filters: Humans; English</w:t>
      </w:r>
    </w:p>
    <w:bookmarkEnd w:id="10"/>
    <w:bookmarkStart w:id="11" w:name="embase-emtree"/>
    <w:p>
      <w:pPr>
        <w:pStyle w:val="Heading3"/>
      </w:pPr>
      <w:r>
        <w:t xml:space="preserve">EMBASE (Emtree)</w:t>
      </w:r>
    </w:p>
    <w:p>
      <w:pPr>
        <w:pStyle w:val="SourceCode"/>
      </w:pPr>
      <w:r>
        <w:rPr>
          <w:rStyle w:val="VerbatimChar"/>
        </w:rPr>
        <w:t xml:space="preserve">#1  Allogeneic HCT population</w:t>
      </w:r>
      <w:r>
        <w:br/>
      </w:r>
      <w:r>
        <w:rPr>
          <w:rStyle w:val="VerbatimChar"/>
        </w:rPr>
        <w:t xml:space="preserve">    ('bone marrow transplantation'/exp OR 'stem cell transplantation'/exp</w:t>
      </w:r>
      <w:r>
        <w:br/>
      </w:r>
      <w:r>
        <w:rPr>
          <w:rStyle w:val="VerbatimChar"/>
        </w:rPr>
        <w:t xml:space="preserve">     OR 'allogeneic stem cell transplant*':ti,ab OR 'allo-hct':ti,ab OR 'allo-hsct':ti,ab</w:t>
      </w:r>
      <w:r>
        <w:br/>
      </w:r>
      <w:r>
        <w:rPr>
          <w:rStyle w:val="VerbatimChar"/>
        </w:rPr>
        <w:t xml:space="preserve">     OR haploidentical:ti,ab OR 'hla-matched':ti,ab OR 'matched unrelated donor':ti,ab</w:t>
      </w:r>
      <w:r>
        <w:br/>
      </w:r>
      <w:r>
        <w:rPr>
          <w:rStyle w:val="VerbatimChar"/>
        </w:rPr>
        <w:t xml:space="preserve">     OR 'mismatched unrelated donor':ti,ab)</w:t>
      </w:r>
      <w:r>
        <w:br/>
      </w:r>
      <w:r>
        <w:br/>
      </w:r>
      <w:r>
        <w:rPr>
          <w:rStyle w:val="VerbatimChar"/>
        </w:rPr>
        <w:t xml:space="preserve">#2  PTCy intervention</w:t>
      </w:r>
      <w:r>
        <w:br/>
      </w:r>
      <w:r>
        <w:rPr>
          <w:rStyle w:val="VerbatimChar"/>
        </w:rPr>
        <w:t xml:space="preserve">    ('post-transplant cyclophosphamide':ti,ab OR 'post-transplantation cyclophosphamide':ti,ab</w:t>
      </w:r>
      <w:r>
        <w:br/>
      </w:r>
      <w:r>
        <w:rPr>
          <w:rStyle w:val="VerbatimChar"/>
        </w:rPr>
        <w:t xml:space="preserve">     OR 'posttransplant cyclophosphamide':ti,ab OR 'posttransplantation cyclophosphamide':ti,ab</w:t>
      </w:r>
      <w:r>
        <w:br/>
      </w:r>
      <w:r>
        <w:rPr>
          <w:rStyle w:val="VerbatimChar"/>
        </w:rPr>
        <w:t xml:space="preserve">     OR ptcy:ti,ab OR 'pt-cy':ti,ab</w:t>
      </w:r>
      <w:r>
        <w:br/>
      </w:r>
      <w:r>
        <w:rPr>
          <w:rStyle w:val="VerbatimChar"/>
        </w:rPr>
        <w:t xml:space="preserve">     OR ('cyclophosphamide'/exp AND 'graft versus host reaction'/exp))</w:t>
      </w:r>
      <w:r>
        <w:br/>
      </w:r>
      <w:r>
        <w:br/>
      </w:r>
      <w:r>
        <w:rPr>
          <w:rStyle w:val="VerbatimChar"/>
        </w:rPr>
        <w:t xml:space="preserve">#3  Infection outcomes</w:t>
      </w:r>
      <w:r>
        <w:br/>
      </w:r>
      <w:r>
        <w:rPr>
          <w:rStyle w:val="VerbatimChar"/>
        </w:rPr>
        <w:t xml:space="preserve">    ('infection'/exp OR 'bacterial infection'/exp OR 'virus infection'/exp OR 'mycosis'/exp</w:t>
      </w:r>
      <w:r>
        <w:br/>
      </w:r>
      <w:r>
        <w:rPr>
          <w:rStyle w:val="VerbatimChar"/>
        </w:rPr>
        <w:t xml:space="preserve">     OR 'bacteremia'/exp OR 'sepsis'/exp OR 'cytomegalovirus infection'/exp</w:t>
      </w:r>
      <w:r>
        <w:br/>
      </w:r>
      <w:r>
        <w:rPr>
          <w:rStyle w:val="VerbatimChar"/>
        </w:rPr>
        <w:t xml:space="preserve">     OR 'invasive fungal infection'/exp</w:t>
      </w:r>
      <w:r>
        <w:br/>
      </w:r>
      <w:r>
        <w:rPr>
          <w:rStyle w:val="VerbatimChar"/>
        </w:rPr>
        <w:t xml:space="preserve">     OR 'bacterial infection*':ti,ab OR 'viral infection*':ti,ab OR 'fungal infection*':ti,ab</w:t>
      </w:r>
      <w:r>
        <w:br/>
      </w:r>
      <w:r>
        <w:rPr>
          <w:rStyle w:val="VerbatimChar"/>
        </w:rPr>
        <w:t xml:space="preserve">     OR bsi:ti,ab OR sepsis:ti,ab OR cmv:ti,ab OR ebv:ti,ab OR 'hhv-6':ti,ab</w:t>
      </w:r>
      <w:r>
        <w:br/>
      </w:r>
      <w:r>
        <w:rPr>
          <w:rStyle w:val="VerbatimChar"/>
        </w:rPr>
        <w:t xml:space="preserve">     OR 'bk virus':ti,ab OR aspergillosis:ti,ab OR candida:ti,ab OR mucormycosis:ti,ab</w:t>
      </w:r>
      <w:r>
        <w:br/>
      </w:r>
      <w:r>
        <w:rPr>
          <w:rStyle w:val="VerbatimChar"/>
        </w:rPr>
        <w:t xml:space="preserve">     OR mold:ti,ab OR yeast:ti,ab OR mortality:ti,ab)</w:t>
      </w:r>
      <w:r>
        <w:br/>
      </w:r>
      <w:r>
        <w:br/>
      </w:r>
      <w:r>
        <w:rPr>
          <w:rStyle w:val="VerbatimChar"/>
        </w:rPr>
        <w:t xml:space="preserve">#4  #1 AND #2 AND #3 AND [humans]/lim AND [english]/lim</w:t>
      </w:r>
    </w:p>
    <w:bookmarkEnd w:id="11"/>
    <w:bookmarkStart w:id="12" w:name="scopus"/>
    <w:p>
      <w:pPr>
        <w:pStyle w:val="Heading3"/>
      </w:pPr>
      <w:r>
        <w:t xml:space="preserve">SCOPUS</w:t>
      </w:r>
    </w:p>
    <w:p>
      <w:pPr>
        <w:pStyle w:val="SourceCode"/>
      </w:pPr>
      <w:r>
        <w:rPr>
          <w:rStyle w:val="VerbatimChar"/>
        </w:rPr>
        <w:t xml:space="preserve">TITLE-ABS-KEY(</w:t>
      </w:r>
      <w:r>
        <w:br/>
      </w:r>
      <w:r>
        <w:rPr>
          <w:rStyle w:val="VerbatimChar"/>
        </w:rPr>
        <w:t xml:space="preserve">  ("allogeneic stem cell transplant*" OR "allo-HCT" OR "allo-HSCT"</w:t>
      </w:r>
      <w:r>
        <w:br/>
      </w:r>
      <w:r>
        <w:rPr>
          <w:rStyle w:val="VerbatimChar"/>
        </w:rPr>
        <w:t xml:space="preserve">   OR "hematopoietic stem cell transplantation" OR "bone marrow transplantation"</w:t>
      </w:r>
      <w:r>
        <w:br/>
      </w:r>
      <w:r>
        <w:rPr>
          <w:rStyle w:val="VerbatimChar"/>
        </w:rPr>
        <w:t xml:space="preserve">   OR haploidentical OR "HLA-matched" OR "matched unrelated donor"</w:t>
      </w:r>
      <w:r>
        <w:br/>
      </w:r>
      <w:r>
        <w:rPr>
          <w:rStyle w:val="VerbatimChar"/>
        </w:rPr>
        <w:t xml:space="preserve">   OR "mismatched unrelated donor")</w:t>
      </w:r>
      <w:r>
        <w:br/>
      </w:r>
      <w:r>
        <w:rPr>
          <w:rStyle w:val="VerbatimChar"/>
        </w:rPr>
        <w:t xml:space="preserve">  AND</w:t>
      </w:r>
      <w:r>
        <w:br/>
      </w:r>
      <w:r>
        <w:rPr>
          <w:rStyle w:val="VerbatimChar"/>
        </w:rPr>
        <w:t xml:space="preserve">  ("post-transplant cyclophosphamide" OR "post-transplantation cyclophosphamide"</w:t>
      </w:r>
      <w:r>
        <w:br/>
      </w:r>
      <w:r>
        <w:rPr>
          <w:rStyle w:val="VerbatimChar"/>
        </w:rPr>
        <w:t xml:space="preserve">   OR "posttransplant cyclophosphamide" OR "posttransplantation cyclophosphamide"</w:t>
      </w:r>
      <w:r>
        <w:br/>
      </w:r>
      <w:r>
        <w:rPr>
          <w:rStyle w:val="VerbatimChar"/>
        </w:rPr>
        <w:t xml:space="preserve">   OR PTCy OR "PT-Cy" OR (cyclophosphamide AND "graft versus host disease"))</w:t>
      </w:r>
      <w:r>
        <w:br/>
      </w:r>
      <w:r>
        <w:rPr>
          <w:rStyle w:val="VerbatimChar"/>
        </w:rPr>
        <w:t xml:space="preserve">  AND</w:t>
      </w:r>
      <w:r>
        <w:br/>
      </w:r>
      <w:r>
        <w:rPr>
          <w:rStyle w:val="VerbatimChar"/>
        </w:rPr>
        <w:t xml:space="preserve">  (infection* OR "bacterial infection*" OR "viral infection*" OR "fungal infection*"</w:t>
      </w:r>
      <w:r>
        <w:br/>
      </w:r>
      <w:r>
        <w:rPr>
          <w:rStyle w:val="VerbatimChar"/>
        </w:rPr>
        <w:t xml:space="preserve">   OR BSI OR sepsis OR bacteremia OR CMV OR "cytomegalovirus infection*" OR EBV</w:t>
      </w:r>
      <w:r>
        <w:br/>
      </w:r>
      <w:r>
        <w:rPr>
          <w:rStyle w:val="VerbatimChar"/>
        </w:rPr>
        <w:t xml:space="preserve">   OR "HHV-6" OR "BK virus" OR aspergillosis OR candida OR mucormycosis OR mold</w:t>
      </w:r>
      <w:r>
        <w:br/>
      </w:r>
      <w:r>
        <w:rPr>
          <w:rStyle w:val="VerbatimChar"/>
        </w:rPr>
        <w:t xml:space="preserve">   OR yeast OR "invasive fungal infection*" OR mortality)</w:t>
      </w:r>
      <w:r>
        <w:br/>
      </w:r>
      <w:r>
        <w:rPr>
          <w:rStyle w:val="VerbatimChar"/>
        </w:rPr>
        <w:t xml:space="preserve">) AND LANGUAGE(english)</w:t>
      </w:r>
    </w:p>
    <w:p>
      <w:r>
        <w:br w:type="page"/>
      </w:r>
    </w:p>
    <w:bookmarkEnd w:id="12"/>
    <w:bookmarkEnd w:id="13"/>
    <w:bookmarkStart w:id="15" w:name="X561181627dc6e2b46b8df65af657509ab5e7f42"/>
    <w:p>
      <w:pPr>
        <w:pStyle w:val="Heading2"/>
      </w:pPr>
      <w:r>
        <w:t xml:space="preserve">S2. Studies excluded at full-text screening (n=214)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s2-exclus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Reasons for exclusion at full-text screening.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Exclusion reason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Conference abstract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Single-arm or no PTCy contrast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Review, not primary study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Duplicate publication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Non-eligible population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Protocol or survey only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214</w:t>
                  </w:r>
                </w:p>
              </w:tc>
            </w:tr>
          </w:tbl>
          <w:bookmarkEnd w:id="14"/>
          <w:p/>
        </w:tc>
      </w:tr>
    </w:tbl>
    <w:bookmarkEnd w:id="15"/>
    <w:bookmarkStart w:id="16" w:name="s3.-characteristics-of-included-studies"/>
    <w:p>
      <w:pPr>
        <w:pStyle w:val="Heading2"/>
      </w:pPr>
      <w:r>
        <w:t xml:space="preserve">S3. Characteristics of included studies</w:t>
      </w:r>
    </w:p>
    <w:p>
      <w:pPr>
        <w:pStyle w:val="FirstParagraph"/>
      </w:pPr>
      <w:r>
        <w:t xml:space="preserve">Full study-level (table S4a, 251 rows) and arm-level (table S4b, 525 rows)</w:t>
      </w:r>
      <w:r>
        <w:t xml:space="preserve"> </w:t>
      </w:r>
      <w:r>
        <w:t xml:space="preserve">characteristics are provided as supplementary data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Table_S4a_study_characteristics.csv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Table_S4b_arm_characteristics.csv</w:t>
      </w:r>
      <w:r>
        <w:t xml:space="preserve">), and are</w:t>
      </w:r>
      <w:r>
        <w:t xml:space="preserve"> </w:t>
      </w:r>
      <w:r>
        <w:t xml:space="preserve">reproduced from the extraction database in the accompanying notebook</w:t>
      </w:r>
      <w:r>
        <w:t xml:space="preserve"> </w:t>
      </w:r>
      <w:r>
        <w:rPr>
          <w:i/>
          <w:iCs/>
        </w:rPr>
        <w:t xml:space="preserve">Study and arm characteristics</w:t>
      </w:r>
      <w:r>
        <w:t xml:space="preserve">.</w:t>
      </w:r>
    </w:p>
    <w:p>
      <w:r>
        <w:br w:type="page"/>
      </w:r>
    </w:p>
    <w:bookmarkEnd w:id="16"/>
    <w:bookmarkStart w:id="30" w:name="s5.-risk-of-bias"/>
    <w:p>
      <w:pPr>
        <w:pStyle w:val="Heading2"/>
      </w:pPr>
      <w:r>
        <w:t xml:space="preserve">S5. Risk of bias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tbl-s5c-robi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ROBINS-I domain-level risk of bias, counts by judgement (n = 211 comparative</w:t>
            </w:r>
            <w:r>
              <w:t xml:space="preserve"> </w:t>
            </w:r>
            <w:r>
              <w:t xml:space="preserve">observational studies; single-arm descriptive studies excluded).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Domain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Moderate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Serious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D1 Confounding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D2 Selection of participants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D3 Classification of interventions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D4 Deviations from intended interventions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D5 Missing data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D6 Measurement of outcomes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D7 Selection of the reported result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1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s5a"/>
          <w:p>
            <w:pPr>
              <w:pStyle w:val="Compact"/>
              <w:jc w:val="left"/>
            </w:pPr>
            <w:r>
              <w:drawing>
                <wp:inline>
                  <wp:extent cx="5334000" cy="200025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figures/FigureS5a_ROBINS_traffic_ligh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1: ROBINS-I traffic-light plot for all comparative observational studies.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5b"/>
          <w:p>
            <w:pPr>
              <w:pStyle w:val="Compact"/>
              <w:jc w:val="left"/>
            </w:pPr>
            <w:r>
              <w:drawing>
                <wp:inline>
                  <wp:extent cx="5334000" cy="26670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figures/FigureS5b_ROBINS_domain_summary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2: ROBINS-I domain-level summary.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s5c"/>
          <w:p>
            <w:pPr>
              <w:pStyle w:val="Compact"/>
              <w:jc w:val="left"/>
            </w:pPr>
            <w:r>
              <w:drawing>
                <wp:inline>
                  <wp:extent cx="5334000" cy="26670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figures/FigureS5c_RoB2_summary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3: RoB 2 summary for the 14 randomised controlled trials.</w:t>
            </w:r>
          </w:p>
          <w:bookmarkEnd w:id="29"/>
        </w:tc>
      </w:tr>
    </w:tbl>
    <w:p>
      <w:pPr>
        <w:pStyle w:val="BodyText"/>
      </w:pPr>
      <w:r>
        <w:t xml:space="preserve">Full justification narratives are available in</w:t>
      </w:r>
      <w:r>
        <w:t xml:space="preserve"> </w:t>
      </w:r>
      <w:r>
        <w:rPr>
          <w:rStyle w:val="VerbatimChar"/>
        </w:rPr>
        <w:t xml:space="preserve">rob.csv</w:t>
      </w:r>
      <w:r>
        <w:t xml:space="preserve">, submitted as a supplementary</w:t>
      </w:r>
      <w:r>
        <w:t xml:space="preserve"> </w:t>
      </w:r>
      <w:r>
        <w:t xml:space="preserve">data file.</w:t>
      </w:r>
    </w:p>
    <w:p>
      <w:r>
        <w:br w:type="page"/>
      </w:r>
    </w:p>
    <w:bookmarkEnd w:id="30"/>
    <w:bookmarkStart w:id="32" w:name="s6.-model-specification-and-priors"/>
    <w:p>
      <w:pPr>
        <w:pStyle w:val="Heading2"/>
      </w:pPr>
      <w:r>
        <w:t xml:space="preserve">S6. Model specification and priors</w:t>
      </w:r>
    </w:p>
    <w:p>
      <w:pPr>
        <w:pStyle w:val="FirstParagraph"/>
      </w:pPr>
      <w:r>
        <w:t xml:space="preserve">Primary model (M1), for study</w:t>
      </w:r>
      <w:r>
        <w:t xml:space="preserve"> </w:t>
      </w:r>
      <m:oMath>
        <m:r>
          <m:t>s</m:t>
        </m:r>
      </m:oMath>
      <w:r>
        <w:t xml:space="preserve">, arm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events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Binomial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logit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PTCy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tp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]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τ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indicates a PTCy arm and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indicates a late (≥1 year) rather than early</w:t>
      </w:r>
      <w:r>
        <w:t xml:space="preserve"> </w:t>
      </w:r>
      <w:r>
        <w:t xml:space="preserve">(day +100 or +180) timepoint.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s6-prio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Prior specification for the primary model.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Fixed effects (β)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N(0, 2·5)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 (α)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N(0, 1·5)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Between-study SD (τ)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Student t(3, 0, 1), half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The steroid-mediation model (M2) adds arm-level systemic steroid exposure percentage,</w:t>
      </w:r>
      <w:r>
        <w:t xml:space="preserve"> </w:t>
      </w:r>
      <w:r>
        <w:t xml:space="preserve">mean-centred, as an additional fixed effect.</w:t>
      </w:r>
    </w:p>
    <w:p>
      <w:pPr>
        <w:pStyle w:val="BodyText"/>
      </w:pPr>
      <w:r>
        <w:t xml:space="preserve">MCMC: four chains × 4000 iterations (1000 warmup),</w:t>
      </w:r>
      <w:r>
        <w:t xml:space="preserve"> </w:t>
      </w:r>
      <w:r>
        <w:rPr>
          <w:rStyle w:val="VerbatimChar"/>
        </w:rPr>
        <w:t xml:space="preserve">adapt_delta</w:t>
      </w:r>
      <w:r>
        <w:t xml:space="preserve"> </w:t>
      </w:r>
      <w:r>
        <w:t xml:space="preserve">= 0·95, giving 12 000</w:t>
      </w:r>
      <w:r>
        <w:t xml:space="preserve"> </w:t>
      </w:r>
      <w:r>
        <w:t xml:space="preserve">post-warmup draws per model.</w:t>
      </w:r>
    </w:p>
    <w:p>
      <w:r>
        <w:br w:type="page"/>
      </w:r>
    </w:p>
    <w:bookmarkEnd w:id="32"/>
    <w:bookmarkStart w:id="51" w:name="s7.-mcmc-diagnostics"/>
    <w:p>
      <w:pPr>
        <w:pStyle w:val="Heading2"/>
      </w:pPr>
      <w:r>
        <w:t xml:space="preserve">S7. MCMC diagnostics</w:t>
      </w:r>
    </w:p>
    <w:p>
      <w:pPr>
        <w:pStyle w:val="FirstParagraph"/>
      </w:pPr>
      <w:r>
        <w:t xml:space="preserve">All Bayesian models were fitted with</w:t>
      </w:r>
      <w:r>
        <w:t xml:space="preserve"> </w:t>
      </w:r>
      <w:r>
        <w:rPr>
          <w:rStyle w:val="VerbatimChar"/>
        </w:rPr>
        <w:t xml:space="preserve">brms</w:t>
      </w:r>
      <w:r>
        <w:t xml:space="preserve"> </w:t>
      </w:r>
      <w:r>
        <w:t xml:space="preserve">v2.23.0 and the</w:t>
      </w:r>
      <w:r>
        <w:t xml:space="preserve"> </w:t>
      </w:r>
      <w:r>
        <w:rPr>
          <w:rStyle w:val="VerbatimChar"/>
        </w:rPr>
        <w:t xml:space="preserve">rstan</w:t>
      </w:r>
      <w:r>
        <w:t xml:space="preserve"> </w:t>
      </w:r>
      <w:r>
        <w:t xml:space="preserve">backend. R̂</w:t>
      </w:r>
      <w:r>
        <w:t xml:space="preserve"> </w:t>
      </w:r>
      <w:r>
        <w:t xml:space="preserve">(threshold &lt; 1·01), bulk and tail effective sample size (ESS; threshold &gt; 400), and the</w:t>
      </w:r>
      <w:r>
        <w:t xml:space="preserve"> </w:t>
      </w:r>
      <w:r>
        <w:t xml:space="preserve">number of divergent transitions are reported for every fitted model. Values are the</w:t>
      </w:r>
      <w:r>
        <w:t xml:space="preserve"> </w:t>
      </w:r>
      <w:r>
        <w:t xml:space="preserve">worst case (maximum R̂, minimum ESS) across all model parameters.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7a-i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MCMC convergence diagnostics, comparison 1 models.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R̂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bulk 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tail 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Divergences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 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NRM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NRM 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aGVHD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CMV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CMV 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BSI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IFI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RRM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BK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IRM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s7a-ii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MCMC convergence diagnostics, comparison 2 models.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R̂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bulk 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tail 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Divergences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 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NRM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aGVHD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CMV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CMV 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RRM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BK 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1·0592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34"/>
          <w:p/>
        </w:tc>
      </w:tr>
    </w:tbl>
    <w:p>
      <w:pPr>
        <w:pStyle w:val="BodyText"/>
      </w:pPr>
      <w:r>
        <w:t xml:space="preserve">All models except C2 BK achieved R̂ &lt; 1·01 with zero divergent transitions and bulk ESS</w:t>
      </w:r>
      <w:r>
        <w:t xml:space="preserve"> </w:t>
      </w:r>
      <w:r>
        <w:t xml:space="preserve">above 1000. The C2 BK model (k = 3) did not converge to that standard (R̂ = 1·0592, bulk</w:t>
      </w:r>
      <w:r>
        <w:t xml:space="preserve"> </w:t>
      </w:r>
      <w:r>
        <w:t xml:space="preserve">ESS 67, tail ESS 17) and its posterior should be read as indicative only.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s7b"/>
          <w:p>
            <w:pPr>
              <w:pStyle w:val="Compact"/>
              <w:jc w:val="left"/>
            </w:pPr>
            <w:r>
              <w:drawing>
                <wp:inline>
                  <wp:extent cx="5334000" cy="320039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figures/FigureS7b_trace_plo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4: Trace plots for</w:t>
            </w:r>
            <w:r>
              <w:t xml:space="preserve"> </w:t>
            </w:r>
            <w:r>
              <w:rPr>
                <w:rStyle w:val="VerbatimChar"/>
              </w:rPr>
              <w:t xml:space="preserve">b_ptcy_binary</w:t>
            </w:r>
            <w:r>
              <w:t xml:space="preserve"> </w:t>
            </w:r>
            <w:r>
              <w:t xml:space="preserve">(top) and</w:t>
            </w:r>
            <w:r>
              <w:t xml:space="preserve"> </w:t>
            </w:r>
            <w:r>
              <w:rPr>
                <w:rStyle w:val="VerbatimChar"/>
              </w:rPr>
              <w:t xml:space="preserve">sd_study_id__Intercept</w:t>
            </w:r>
            <w:r>
              <w:t xml:space="preserve"> </w:t>
            </w:r>
            <w:r>
              <w:t xml:space="preserve">(τ, bottom) in OS M1 (left) and CMV M1 (right). All four chains mix well across the full post-warmup phase.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s7c"/>
          <w:p>
            <w:pPr>
              <w:pStyle w:val="Compact"/>
              <w:jc w:val="left"/>
            </w:pPr>
            <w:r>
              <w:drawing>
                <wp:inline>
                  <wp:extent cx="5334000" cy="333375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figures/FigureS7c_tau_posteriors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5: Posterior densities of τ (between-study SD) for comparison 1 M1 models. The half-Student t(3, 0, 1) prior common to all models is shown in grey. IFI shows the widest τ posterior, consistent with the structural heterogeneity identified in the leave-one-out analysis (S9).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s7d-i"/>
          <w:p>
            <w:pPr>
              <w:pStyle w:val="Compact"/>
              <w:jc w:val="left"/>
            </w:pPr>
            <w:r>
              <w:drawing>
                <wp:inline>
                  <wp:extent cx="5334000" cy="414866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figures/FigureS7d_i_ppc_C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48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checks, comparison 1. Each point is one study arm: the observed event proportion against its posterior predictive mean, over 500 posterior draws. The dashed line is the identity.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7d-ii"/>
          <w:p>
            <w:pPr>
              <w:pStyle w:val="Compact"/>
              <w:jc w:val="left"/>
            </w:pPr>
            <w:r>
              <w:drawing>
                <wp:inline>
                  <wp:extent cx="5334000" cy="35560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figures/FigureS7d_ii_ppc_C2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7: Posterior predictive checks, comparison 2. Layout and interpretation as in</w:t>
            </w:r>
            <w:r>
              <w:t xml:space="preserve"> </w:t>
            </w:r>
            <w:hyperlink w:anchor="fig-s7d-i">
              <w:r>
                <w:rPr>
                  <w:rStyle w:val="Hyperlink"/>
                </w:rPr>
                <w:t xml:space="preserve">figure 6</w:t>
              </w:r>
            </w:hyperlink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All models show adequate calibration, with points clustered near the identity line and</w:t>
      </w:r>
      <w:r>
        <w:t xml:space="preserve"> </w:t>
      </w:r>
      <w:r>
        <w:t xml:space="preserve">symmetric scatter. The C1 IFI model (k = 6) shows the widest scatter, consistent with</w:t>
      </w:r>
      <w:r>
        <w:t xml:space="preserve"> </w:t>
      </w:r>
      <w:r>
        <w:t xml:space="preserve">its large τ posterior (</w:t>
      </w:r>
      <w:hyperlink w:anchor="fig-s7c">
        <w:r>
          <w:rPr>
            <w:rStyle w:val="Hyperlink"/>
          </w:rPr>
          <w:t xml:space="preserve">figure 5</w:t>
        </w:r>
      </w:hyperlink>
      <w:r>
        <w:t xml:space="preserve">) and the heterogeneity identified in S9. No systematic</w:t>
      </w:r>
      <w:r>
        <w:t xml:space="preserve"> </w:t>
      </w:r>
      <w:r>
        <w:t xml:space="preserve">over- or under-prediction is evident in any model.</w:t>
      </w:r>
    </w:p>
    <w:p>
      <w:r>
        <w:br w:type="page"/>
      </w:r>
    </w:p>
    <w:bookmarkEnd w:id="51"/>
    <w:bookmarkStart w:id="96" w:name="s8.-forest-plots"/>
    <w:p>
      <w:pPr>
        <w:pStyle w:val="Heading2"/>
      </w:pPr>
      <w:r>
        <w:t xml:space="preserve">S8. Forest plots</w:t>
      </w:r>
    </w:p>
    <w:p>
      <w:pPr>
        <w:pStyle w:val="FirstParagraph"/>
      </w:pPr>
      <w:r>
        <w:t xml:space="preserve">Individual study odds ratios with 95% CIs and the pooled frequentist random-effects</w:t>
      </w:r>
      <w:r>
        <w:t xml:space="preserve"> </w:t>
      </w:r>
      <w:r>
        <w:t xml:space="preserve">estimate (</w:t>
      </w:r>
      <w:r>
        <w:rPr>
          <w:rStyle w:val="VerbatimChar"/>
        </w:rPr>
        <w:t xml:space="preserve">metafor</w:t>
      </w:r>
      <w:r>
        <w:t xml:space="preserve">, REML), shown alongside the Bayesian estimates reported in the main</w:t>
      </w:r>
      <w:r>
        <w:t xml:space="preserve"> </w:t>
      </w:r>
      <w:r>
        <w:t xml:space="preserve">text as concordance checks. All plots are from the cohort-deduplicated datasets.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s8a-os"/>
          <w:p>
            <w:pPr>
              <w:pStyle w:val="Compact"/>
              <w:jc w:val="left"/>
            </w:pPr>
            <w:r>
              <w:drawing>
                <wp:inline>
                  <wp:extent cx="5334000" cy="760095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figures/FigureS8a_OS_forest_frequentis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600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8: Overall survival, frequentist REML concordance check for figure 2 of the main text.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s8a-cmv"/>
          <w:p>
            <w:pPr>
              <w:pStyle w:val="Compact"/>
              <w:jc w:val="left"/>
            </w:pPr>
            <w:r>
              <w:drawing>
                <wp:inline>
                  <wp:extent cx="5334000" cy="800099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figures/FigureS8a_CMV_forest_frequentis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00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9: CMV any-reactivation, frequentist REML concordance check for figure 3 of the main text.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s8b"/>
          <w:p>
            <w:pPr>
              <w:pStyle w:val="Compact"/>
              <w:jc w:val="left"/>
            </w:pPr>
            <w:r>
              <w:drawing>
                <wp:inline>
                  <wp:extent cx="5334000" cy="800099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figures/FigureS8b_aGVHD_forest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00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10: Acute GVHD grade II–IV.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s8c"/>
          <w:p>
            <w:pPr>
              <w:pStyle w:val="Compact"/>
              <w:jc w:val="left"/>
            </w:pPr>
            <w:r>
              <w:drawing>
                <wp:inline>
                  <wp:extent cx="5334000" cy="6000749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figures/FigureS8c_NRM_forest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00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11: Non-relapse mortality.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s8d"/>
          <w:p>
            <w:pPr>
              <w:pStyle w:val="Compact"/>
              <w:jc w:val="left"/>
            </w:pPr>
            <w:r>
              <w:drawing>
                <wp:inline>
                  <wp:extent cx="5334000" cy="741426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figures/FigureS8d_RRM_fores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14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12: Relapse-related mortality.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s8e"/>
          <w:p>
            <w:pPr>
              <w:pStyle w:val="Compact"/>
              <w:jc w:val="left"/>
            </w:pPr>
            <w:r>
              <w:drawing>
                <wp:inline>
                  <wp:extent cx="5334000" cy="461224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figures/FigureS8e_cGVHD_forest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12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13: Chronic GVHD, moderate to severe.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s8f"/>
          <w:p>
            <w:pPr>
              <w:pStyle w:val="Compact"/>
              <w:jc w:val="left"/>
            </w:pPr>
            <w:r>
              <w:drawing>
                <wp:inline>
                  <wp:extent cx="5334000" cy="3333749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figures/FigureS8f_BSI_forest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14: Bloodstream infection, any pathogen.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s8g"/>
          <w:p>
            <w:pPr>
              <w:pStyle w:val="Compact"/>
              <w:jc w:val="left"/>
            </w:pPr>
            <w:r>
              <w:drawing>
                <wp:inline>
                  <wp:extent cx="5334000" cy="333374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figures/FigureS8g_IFI_forest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15: Invasive fungal infection, any.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8h"/>
          <w:p>
            <w:pPr>
              <w:pStyle w:val="Compact"/>
              <w:jc w:val="left"/>
            </w:pPr>
            <w:r>
              <w:drawing>
                <wp:inline>
                  <wp:extent cx="5334000" cy="53340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figures/FigureS8h_BK_forest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16: BK virus reactivation.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s8i"/>
          <w:p>
            <w:pPr>
              <w:pStyle w:val="Compact"/>
              <w:jc w:val="left"/>
            </w:pPr>
            <w:r>
              <w:drawing>
                <wp:inline>
                  <wp:extent cx="5334000" cy="349376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figures/FigureS8i_IRM_forest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3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17: Infection-related mortality.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8j"/>
          <w:p>
            <w:pPr>
              <w:pStyle w:val="Compact"/>
              <w:jc w:val="left"/>
            </w:pPr>
            <w:r>
              <w:drawing>
                <wp:inline>
                  <wp:extent cx="5334000" cy="53340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figures/FigureS8j_C3_forest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18: Comparison 3, within-PTCy regimen variants, all outcomes.</w:t>
            </w:r>
          </w:p>
          <w:bookmarkEnd w:id="95"/>
        </w:tc>
      </w:tr>
    </w:tbl>
    <w:p>
      <w:r>
        <w:br w:type="page"/>
      </w:r>
    </w:p>
    <w:bookmarkEnd w:id="96"/>
    <w:bookmarkStart w:id="105" w:name="s9.-sensitivity-analyses"/>
    <w:p>
      <w:pPr>
        <w:pStyle w:val="Heading2"/>
      </w:pPr>
      <w:r>
        <w:t xml:space="preserve">S9. Sensitivity analyses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s9a"/>
          <w:p>
            <w:pPr>
              <w:pStyle w:val="Compact"/>
              <w:jc w:val="left"/>
            </w:pPr>
            <w:r>
              <w:drawing>
                <wp:inline>
                  <wp:extent cx="5334000" cy="26670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figures/FigureS9a_CMV_sensitivity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19: CMV sensitivity models, comparison 1: primary model, post-2020 restriction, and haploidentical-dominant restriction.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s9b"/>
          <w:p>
            <w:pPr>
              <w:pStyle w:val="Compact"/>
              <w:jc w:val="left"/>
            </w:pPr>
            <w:r>
              <w:drawing>
                <wp:inline>
                  <wp:extent cx="5334000" cy="26670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figures/FigureS9b_IFI_leave_one_out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20: IFI leave-one-out analysis, comparison 1 (frequentist REML).</w:t>
            </w:r>
          </w:p>
          <w:bookmarkEnd w:id="104"/>
        </w:tc>
      </w:tr>
    </w:tbl>
    <w:p>
      <w:pPr>
        <w:pStyle w:val="BodyText"/>
      </w:pPr>
      <w:r>
        <w:t xml:space="preserve">Full frequentist results for all models are provided in</w:t>
      </w:r>
      <w:r>
        <w:t xml:space="preserve"> </w:t>
      </w:r>
      <w:r>
        <w:rPr>
          <w:rStyle w:val="VerbatimChar"/>
        </w:rPr>
        <w:t xml:space="preserve">freq_results_setB.csv</w:t>
      </w:r>
      <w:r>
        <w:t xml:space="preserve">, a</w:t>
      </w:r>
      <w:r>
        <w:t xml:space="preserve"> </w:t>
      </w:r>
      <w:r>
        <w:t xml:space="preserve">supplementary data file, which carries the deduplicated fits where deduplication</w:t>
      </w:r>
      <w:r>
        <w:t xml:space="preserve"> </w:t>
      </w:r>
      <w:r>
        <w:t xml:space="preserve">applied and the original fits otherwise (see its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column). Direction was concordant between Bayesian and frequentist</w:t>
      </w:r>
      <w:r>
        <w:t xml:space="preserve"> </w:t>
      </w:r>
      <w:r>
        <w:t xml:space="preserve">estimates for every outcome. Two framework-specific differences are worth noting: C1 BSI</w:t>
      </w:r>
      <w:r>
        <w:t xml:space="preserve"> </w:t>
      </w:r>
      <w:r>
        <w:t xml:space="preserve">(Bayesian odds ratio 1·87 versus frequentist 1·29 [0·61–2·73]) and C1 IFI (0·43 versus</w:t>
      </w:r>
      <w:r>
        <w:t xml:space="preserve"> </w:t>
      </w:r>
      <w:r>
        <w:t xml:space="preserve">0·60 [0·21–1·74]), both reflecting the influence of informative priors at small k.</w:t>
      </w:r>
    </w:p>
    <w:p>
      <w:r>
        <w:br w:type="page"/>
      </w:r>
    </w:p>
    <w:bookmarkEnd w:id="105"/>
    <w:bookmarkStart w:id="106" w:name="s10.-publication-bias"/>
    <w:p>
      <w:pPr>
        <w:pStyle w:val="Heading2"/>
      </w:pPr>
      <w:r>
        <w:t xml:space="preserve">S10. Publication bias</w:t>
      </w:r>
    </w:p>
    <w:p>
      <w:pPr>
        <w:pStyle w:val="FirstParagraph"/>
      </w:pPr>
      <w:r>
        <w:t xml:space="preserve">Robust Bayesian model-averaging (RoBMA) models were fitted for all outcomes with k ≥ 6.</w:t>
      </w:r>
    </w:p>
    <w:bookmarkEnd w:id="106"/>
    <w:bookmarkStart w:id="111" w:name="X27a18afb2a303b2beb180866e7cae43411370e1"/>
    <w:p>
      <w:pPr>
        <w:pStyle w:val="Heading2"/>
      </w:pPr>
      <w:r>
        <w:t xml:space="preserve">S11. GRADE certainty-of-evidence profiles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s11"/>
          <w:p>
            <w:pPr>
              <w:pStyle w:val="Compact"/>
              <w:jc w:val="left"/>
            </w:pPr>
            <w:r>
              <w:drawing>
                <wp:inline>
                  <wp:extent cx="5334000" cy="466725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figures/TableS11_GRADE_profiles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21: GRADE certainty-of-evidence profiles for the pre-specified primary and secondary outcomes.</w:t>
            </w:r>
          </w:p>
          <w:bookmarkEnd w:id="110"/>
        </w:tc>
      </w:tr>
    </w:tbl>
    <w:bookmarkEnd w:id="111"/>
    <w:bookmarkStart w:id="116" w:name="s12.-cohort-overlap"/>
    <w:p>
      <w:pPr>
        <w:pStyle w:val="Heading2"/>
      </w:pPr>
      <w:r>
        <w:t xml:space="preserve">S12. Cohort overlap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s12"/>
          <w:p>
            <w:pPr>
              <w:pStyle w:val="Compact"/>
              <w:jc w:val="left"/>
            </w:pPr>
            <w:r>
              <w:drawing>
                <wp:inline>
                  <wp:extent cx="5334000" cy="4667249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figures/FigureS12_cohort_overlap_map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22: Cohort overlap map. Studies sharing patient cohorts were flagged and the most comprehensive publication designated as primary for each cohort–outcome combination (Set B, the adopted analysis).</w:t>
            </w:r>
          </w:p>
          <w:bookmarkEnd w:id="115"/>
        </w:tc>
      </w:tr>
    </w:tbl>
    <w:bookmarkEnd w:id="116"/>
    <w:bookmarkStart w:id="117" w:name="s13.-prospero-registration"/>
    <w:p>
      <w:pPr>
        <w:pStyle w:val="Heading2"/>
      </w:pPr>
      <w:r>
        <w:t xml:space="preserve">S13. PROSPERO registration</w:t>
      </w:r>
    </w:p>
    <w:p>
      <w:pPr>
        <w:pStyle w:val="FirstParagraph"/>
      </w:pPr>
      <w:r>
        <w:t xml:space="preserve">The study protocol was registered with PROSPERO (CRD420261372156) before data</w:t>
      </w:r>
      <w:r>
        <w:t xml:space="preserve"> </w:t>
      </w:r>
      <w:r>
        <w:t xml:space="preserve">extraction. Protocol amendments were: (1) a Bayesian rather than frequentist primary</w:t>
      </w:r>
      <w:r>
        <w:t xml:space="preserve"> </w:t>
      </w:r>
      <w:r>
        <w:t xml:space="preserve">analysis framework; (2) addition of BK virus reactivation, infection-related mortality,</w:t>
      </w:r>
      <w:r>
        <w:t xml:space="preserve"> </w:t>
      </w:r>
      <w:r>
        <w:t xml:space="preserve">and relapse-related mortality as secondary outcomes; and (3) addition of the</w:t>
      </w:r>
      <w:r>
        <w:t xml:space="preserve"> </w:t>
      </w:r>
      <w:r>
        <w:t xml:space="preserve">steroid-mediation (M2) model.</w:t>
      </w:r>
    </w:p>
    <w:bookmarkEnd w:id="117"/>
    <w:bookmarkStart w:id="118" w:name="s14.-prisma-2020-checklist"/>
    <w:p>
      <w:pPr>
        <w:pStyle w:val="Heading2"/>
      </w:pPr>
      <w:r>
        <w:t xml:space="preserve">S14. PRISMA 2020 checklist</w:t>
      </w:r>
    </w:p>
    <w:bookmarkEnd w:id="118"/>
    <w:sectPr>
      <w:footerReference r:id="rIdLancetFooter" w:type="default"/>
      <w:lnNumType w:countBy="1" w:distance="360" w:restart="continuous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lancet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40" w:before="0" w:line="480" w:lineRule="auto"/>
      <w:jc w:val="left"/>
    </w:pPr>
  </w:style>
  <w:style w:styleId="BodyText" w:type="paragraph">
    <w:name w:val="Body Text"/>
    <w:basedOn w:val="Normal"/>
    <w:link w:val="BodyTextChar"/>
    <w:qFormat/>
    <w:pPr>
      <w:spacing w:after="240" w:before="0" w:line="480" w:lineRule="auto"/>
      <w:jc w:val="left"/>
    </w:pPr>
  </w:style>
  <w:style w:customStyle="1" w:styleId="FirstParagraph" w:type="paragraph">
    <w:name w:val="First Paragraph"/>
    <w:basedOn w:val="BodyText"/>
    <w:next w:val="BodyText"/>
    <w:qFormat/>
    <w:pPr>
      <w:spacing w:after="240" w:before="0" w:line="480" w:lineRule="auto"/>
      <w:jc w:val="left"/>
    </w:pPr>
  </w:style>
  <w:style w:customStyle="1" w:styleId="Compact" w:type="paragraph">
    <w:name w:val="Compact"/>
    <w:basedOn w:val="BodyText"/>
    <w:qFormat/>
    <w:pPr>
      <w:spacing w:after="60" w:before="60" w:line="240" w:lineRule="auto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  <w:pPr>
      <w:spacing w:after="240" w:before="0" w:line="480" w:lineRule="auto"/>
      <w:jc w:val="left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spacing w:after="120" w:before="240" w:line="480" w:lineRule="auto"/>
      <w:jc w:val="left"/>
      <w:outlineLvl w:val="0"/>
    </w:pPr>
    <w:rPr>
      <w:rFonts w:ascii="Times New Roman" w:hAnsi="Times New Roman"/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after="120" w:before="240" w:line="480" w:lineRule="auto"/>
      <w:jc w:val="left"/>
      <w:outlineLvl w:val="1"/>
    </w:pPr>
    <w:rPr>
      <w:rFonts w:ascii="Times New Roman" w:hAnsi="Times New Roman"/>
      <w:b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after="120" w:before="240" w:line="480" w:lineRule="auto"/>
      <w:jc w:val="left"/>
      <w:outlineLvl w:val="2"/>
    </w:pPr>
    <w:rPr>
      <w:rFonts w:ascii="Times New Roman" w:hAnsi="Times New Roman"/>
      <w:b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60" w:line="240" w:lineRule="auto"/>
      <w:jc w:val="left"/>
    </w:pPr>
    <w:rPr>
      <w:i/>
    </w:rPr>
  </w:style>
  <w:style w:customStyle="1" w:styleId="TableCaption" w:type="paragraph">
    <w:name w:val="Table Caption"/>
    <w:basedOn w:val="Caption"/>
    <w:pPr>
      <w:spacing w:after="60" w:before="60" w:line="240" w:lineRule="auto"/>
      <w:jc w:val="left"/>
    </w:pPr>
  </w:style>
  <w:style w:customStyle="1" w:styleId="ImageCaption" w:type="paragraph">
    <w:name w:val="Image Caption"/>
    <w:basedOn w:val="Caption"/>
    <w:pPr>
      <w:spacing w:after="60" w:before="60" w:line="240" w:lineRule="auto"/>
      <w:jc w:val="left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LancetFooter" Target="footer-lancet.xml" Type="http://schemas.openxmlformats.org/officeDocument/2006/relationships/footer" /><Relationship Type="http://schemas.openxmlformats.org/officeDocument/2006/relationships/image" Id="rId112" Target="media/rId112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7" Target="media/rId10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appendix</dc:title>
  <dc:creator>Marta Stanzani; Dimitrios P Kontoyiannis; Russell E Lewis</dc:creator>
  <dc:language>en-GB</dc:language>
  <cp:keywords/>
  <dcterms:created xsi:type="dcterms:W3CDTF">2026-09-29T20:12:58Z</dcterms:created>
  <dcterms:modified xsi:type="dcterms:W3CDTF">2026-09-29T20:12:58Z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itations-hover">
    <vt:lpwstr>False</vt:lpwstr>
  </property>
  <property fmtid="{D5CDD505-2E9C-101B-9397-08002B2CF9AE}" pid="6" name="crossref">
    <vt:lpwstr/>
  </property>
  <property fmtid="{D5CDD505-2E9C-101B-9397-08002B2CF9AE}" pid="7" name="csl">
    <vt:lpwstr>_extensions/lancet-haematology/the-lancet.csl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ancet">
    <vt:lpwstr/>
  </property>
  <property fmtid="{D5CDD505-2E9C-101B-9397-08002B2CF9AE}" pid="13" name="link-citations">
    <vt:lpwstr>True</vt:lpwstr>
  </property>
  <property fmtid="{D5CDD505-2E9C-101B-9397-08002B2CF9AE}" pid="14" name="revealjs-plugins">
    <vt:lpwstr/>
  </property>
  <property fmtid="{D5CDD505-2E9C-101B-9397-08002B2CF9AE}" pid="15" name="subtitle">
    <vt:lpwstr>Post-transplant cyclophosphamide as graft-versus-host disease prophylaxis after allogeneic haematopoietic stem-cell transplantation: a systematic review and Bayesian meta-analysis of infection risk</vt:lpwstr>
  </property>
  <property fmtid="{D5CDD505-2E9C-101B-9397-08002B2CF9AE}" pid="16" name="toc-title">
    <vt:lpwstr>Table of contents</vt:lpwstr>
  </property>
</Properties>
</file>