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lancet.xml" ContentType="application/vnd.openxmlformats-officedocument.wordprocessingml.footer+xml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Post-transplant cyclophosphamide as graft-versus-host disease prophylaxis after allogeneic haematopoietic stem-cell transplantation: a systematic review and Bayesian meta-analysis of infection risk</w:t>
      </w:r>
    </w:p>
    <w:p>
      <w:pPr>
        <w:pStyle w:val="Author"/>
      </w:pPr>
      <w:r>
        <w:t xml:space="preserve">Marta Stanzani</w:t>
      </w:r>
    </w:p>
    <w:p>
      <w:pPr>
        <w:pStyle w:val="Author"/>
      </w:pPr>
      <w:r>
        <w:t xml:space="preserve">Dimitrios P Kontoyiannis</w:t>
      </w:r>
    </w:p>
    <w:p>
      <w:pPr>
        <w:pStyle w:val="Author"/>
      </w:pPr>
      <w:r>
        <w:t xml:space="preserve">Russell E Lewis</w:t>
      </w:r>
    </w:p>
    <w:p>
      <w:pPr>
        <w:pStyle w:val="Date"/>
      </w:pPr>
      <w:r>
        <w:t xml:space="preserve">2026-09-29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Post-transplant cyclophosphamide (PTCy) is used for</w:t>
      </w:r>
      <w:r>
        <w:t xml:space="preserve"> </w:t>
      </w:r>
      <w:r>
        <w:t xml:space="preserve">graft-versus-host disease (GVHD) prophylaxis after allogeneic</w:t>
      </w:r>
      <w:r>
        <w:t xml:space="preserve"> </w:t>
      </w:r>
      <w:r>
        <w:t xml:space="preserve">haematopoietic stem-cell transplantation (allo-HSCT), but its infection</w:t>
      </w:r>
      <w:r>
        <w:t xml:space="preserve"> </w:t>
      </w:r>
      <w:r>
        <w:t xml:space="preserve">effects versus longer-established prophylaxis have not been</w:t>
      </w:r>
      <w:r>
        <w:t xml:space="preserve"> </w:t>
      </w:r>
      <w:r>
        <w:t xml:space="preserve">systematically quantified. We evaluated infection outcomes alongside</w:t>
      </w:r>
      <w:r>
        <w:t xml:space="preserve"> </w:t>
      </w:r>
      <w:r>
        <w:t xml:space="preserve">survival, relapse and non-relapse mortality, and GVHD.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In this systematic review and Bayesian meta-analysis, we</w:t>
      </w:r>
      <w:r>
        <w:t xml:space="preserve"> </w:t>
      </w:r>
      <w:r>
        <w:t xml:space="preserve">searched EMBASE, PubMed, and SCOPUS from inception to April 30, 2026</w:t>
      </w:r>
      <w:r>
        <w:t xml:space="preserve"> </w:t>
      </w:r>
      <w:r>
        <w:t xml:space="preserve">for studies comparing PTCy-based GVHD prophylaxis with alternative</w:t>
      </w:r>
      <w:r>
        <w:t xml:space="preserve"> </w:t>
      </w:r>
      <w:r>
        <w:t xml:space="preserve">regimens in adult allo-HSCT recipients. Comparisons were pre-specified:</w:t>
      </w:r>
      <w:r>
        <w:t xml:space="preserve"> </w:t>
      </w:r>
      <w:r>
        <w:t xml:space="preserve">PTCy versus calcineurin inhibitor (CNI) plus methotrexate or</w:t>
      </w:r>
      <w:r>
        <w:t xml:space="preserve"> </w:t>
      </w:r>
      <w:r>
        <w:t xml:space="preserve">mycophenolate (C1); PTCy versus anti-thymocyte globulin (ATG; C2); and</w:t>
      </w:r>
      <w:r>
        <w:t xml:space="preserve"> </w:t>
      </w:r>
      <w:r>
        <w:t xml:space="preserve">within-PTCy regimen variants (C3). The primary outcome was overall</w:t>
      </w:r>
      <w:r>
        <w:t xml:space="preserve"> </w:t>
      </w:r>
      <w:r>
        <w:t xml:space="preserve">survival (OS); secondary outcomes were non-relapse mortality (NRM),</w:t>
      </w:r>
      <w:r>
        <w:t xml:space="preserve"> </w:t>
      </w:r>
      <w:r>
        <w:t xml:space="preserve">acute GVHD grade II–IV, CMV reactivation, bloodstream infection (BSI),</w:t>
      </w:r>
      <w:r>
        <w:t xml:space="preserve"> </w:t>
      </w:r>
      <w:r>
        <w:t xml:space="preserve">and invasive fungal infection (IFI). We fitted Bayesian random-effects</w:t>
      </w:r>
      <w:r>
        <w:t xml:space="preserve"> </w:t>
      </w:r>
      <w:r>
        <w:t xml:space="preserve">binomial-logistic models. PROSPERO: CRD420261372156.</w:t>
      </w:r>
    </w:p>
    <w:p>
      <w:pPr>
        <w:pStyle w:val="BodyText"/>
      </w:pPr>
      <w:r>
        <w:rPr>
          <w:b/>
          <w:bCs/>
        </w:rPr>
        <w:t xml:space="preserve">Findings.</w:t>
      </w:r>
      <w:r>
        <w:t xml:space="preserve"> </w:t>
      </w:r>
      <w:r>
        <w:t xml:space="preserve">Of 4145 records, 251 studies (525 arms; 177 758 patients;</w:t>
      </w:r>
      <w:r>
        <w:t xml:space="preserve"> </w:t>
      </w:r>
      <w:r>
        <w:t xml:space="preserve">14 randomised trials) were included, 117 in the meta-analysis. In C1 (83 studies), PTCy was associated with improved OS</w:t>
      </w:r>
      <w:r>
        <w:t xml:space="preserve"> </w:t>
      </w:r>
      <w:r>
        <w:t xml:space="preserve">(odds ratio 0·84 [95% credible interval 0·76–0·92]) and reduced acute</w:t>
      </w:r>
      <w:r>
        <w:t xml:space="preserve"> </w:t>
      </w:r>
      <w:r>
        <w:t xml:space="preserve">GVHD (0·67 [0·59–0·78]), but increased CMV reactivation</w:t>
      </w:r>
      <w:r>
        <w:t xml:space="preserve"> </w:t>
      </w:r>
      <w:r>
        <w:t xml:space="preserve">(1·26 [1·07–1·47]) and BSI (1·87 [1·33–2·62]). In C2 (42 studies),</w:t>
      </w:r>
      <w:r>
        <w:t xml:space="preserve"> </w:t>
      </w:r>
      <w:r>
        <w:t xml:space="preserve">PTCy improved OS versus ATG (0·83 [0·75–0·92]) with no CMV excess</w:t>
      </w:r>
      <w:r>
        <w:t xml:space="preserve"> </w:t>
      </w:r>
      <w:r>
        <w:t xml:space="preserve">(0·97 [0·77–1·23]). The CMV signal was steroid-independent and</w:t>
      </w:r>
      <w:r>
        <w:t xml:space="preserve"> </w:t>
      </w:r>
      <w:r>
        <w:t xml:space="preserve">strengthened in post-2020 and haploidentical-dominant cohorts; the C1</w:t>
      </w:r>
      <w:r>
        <w:t xml:space="preserve"> </w:t>
      </w:r>
      <w:r>
        <w:t xml:space="preserve">survival benefit did not persist after steroid adjustment</w:t>
      </w:r>
      <w:r>
        <w:t xml:space="preserve"> </w:t>
      </w:r>
      <w:r>
        <w:t xml:space="preserve">(1·04 [0·89–1·22]). GRADE certainty was low for survival and GVHD,</w:t>
      </w:r>
      <w:r>
        <w:t xml:space="preserve"> </w:t>
      </w:r>
      <w:r>
        <w:t xml:space="preserve">very low for infections.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PTCy improves survival and reduces GVHD across</w:t>
      </w:r>
      <w:r>
        <w:t xml:space="preserve"> </w:t>
      </w:r>
      <w:r>
        <w:t xml:space="preserve">comparators but increases CMV and bacterial infection risk versus less</w:t>
      </w:r>
      <w:r>
        <w:t xml:space="preserve"> </w:t>
      </w:r>
      <w:r>
        <w:t xml:space="preserve">T-cell-depleting regimens. The CMV excess versus CNI-based but not</w:t>
      </w:r>
      <w:r>
        <w:t xml:space="preserve"> </w:t>
      </w:r>
      <w:r>
        <w:t xml:space="preserve">ATG-based regimens suggests infection risk tracks T-cell-depletion</w:t>
      </w:r>
      <w:r>
        <w:t xml:space="preserve"> </w:t>
      </w:r>
      <w:r>
        <w:t xml:space="preserve">depth, so that PTCy-associated infections are a class effect of T-cell</w:t>
      </w:r>
      <w:r>
        <w:t xml:space="preserve"> </w:t>
      </w:r>
      <w:r>
        <w:t xml:space="preserve">depletion rather than a PTCy-specific limitation.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t xml:space="preserve">There was no funding source for this study.</w:t>
      </w:r>
    </w:p>
    <w:bookmarkEnd w:id="9"/>
    <w:bookmarkStart w:id="13" w:name="research-in-context"/>
    <w:p>
      <w:pPr>
        <w:pStyle w:val="Heading2"/>
      </w:pPr>
      <w:r>
        <w:t xml:space="preserve">Research in context</w:t>
      </w:r>
    </w:p>
    <w:bookmarkStart w:id="10" w:name="evidence-before-this-study"/>
    <w:p>
      <w:pPr>
        <w:pStyle w:val="Heading3"/>
      </w:pPr>
      <w:r>
        <w:t xml:space="preserve">Evidence before this study</w:t>
      </w:r>
    </w:p>
    <w:p>
      <w:pPr>
        <w:pStyle w:val="FirstParagraph"/>
      </w:pPr>
      <w:r>
        <w:t xml:space="preserve">We searched PubMed for systematic reviews and meta-analyses of</w:t>
      </w:r>
      <w:r>
        <w:t xml:space="preserve"> </w:t>
      </w:r>
      <w:r>
        <w:t xml:space="preserve">post-transplant cyclophosphamide in allogeneic haematopoietic stem-cell</w:t>
      </w:r>
      <w:r>
        <w:t xml:space="preserve"> </w:t>
      </w:r>
      <w:r>
        <w:t xml:space="preserve">transplantation published from database inception to June 1, 2026, using</w:t>
      </w:r>
      <w:r>
        <w:t xml:space="preserve"> </w:t>
      </w:r>
      <w:r>
        <w:t xml:space="preserve">the terms</w:t>
      </w:r>
      <w:r>
        <w:t xml:space="preserve"> </w:t>
      </w:r>
      <w:r>
        <w:t xml:space="preserve">“post-transplant cyclophosphamide”</w:t>
      </w:r>
      <w:r>
        <w:t xml:space="preserve"> </w:t>
      </w:r>
      <w:r>
        <w:t xml:space="preserve">AND (</w:t>
      </w:r>
      <w:r>
        <w:t xml:space="preserve">“meta-analysis”</w:t>
      </w:r>
      <w:r>
        <w:t xml:space="preserve"> </w:t>
      </w:r>
      <w:r>
        <w:t xml:space="preserve">OR</w:t>
      </w:r>
      <w:r>
        <w:t xml:space="preserve"> </w:t>
      </w:r>
      <w:r>
        <w:t xml:space="preserve">“systematic review”</w:t>
      </w:r>
      <w:r>
        <w:t xml:space="preserve">). We identified six comparative meta-analyses</w:t>
      </w:r>
      <w:hyperlink w:anchor="ref-gagelmann2019">
        <w:r>
          <w:rPr>
            <w:rStyle w:val="Hyperlink"/>
            <w:vertAlign w:val="superscript"/>
          </w:rPr>
          <w:t xml:space="preserve">1</w:t>
        </w:r>
      </w:hyperlink>
      <w:r>
        <w:rPr>
          <w:vertAlign w:val="superscript"/>
        </w:rPr>
        <w:t xml:space="preserve">–</w:t>
      </w:r>
      <w:hyperlink w:anchor="ref-luo2025">
        <w:r>
          <w:rPr>
            <w:rStyle w:val="Hyperlink"/>
            <w:vertAlign w:val="superscript"/>
          </w:rPr>
          <w:t xml:space="preserve">6</w:t>
        </w:r>
      </w:hyperlink>
      <w:r>
        <w:t xml:space="preserve"> </w:t>
      </w:r>
      <w:r>
        <w:t xml:space="preserve">encompassing 6–20 studies each. All evaluated survival and</w:t>
      </w:r>
      <w:r>
        <w:t xml:space="preserve"> </w:t>
      </w:r>
      <w:r>
        <w:t xml:space="preserve">GVHD outcomes; only two</w:t>
      </w:r>
      <w:hyperlink w:anchor="ref-jin2026">
        <w:r>
          <w:rPr>
            <w:rStyle w:val="Hyperlink"/>
            <w:vertAlign w:val="superscript"/>
          </w:rPr>
          <w:t xml:space="preserve">2</w:t>
        </w:r>
      </w:hyperlink>
      <w:r>
        <w:rPr>
          <w:vertAlign w:val="superscript"/>
        </w:rPr>
        <w:t xml:space="preserve">,</w:t>
      </w:r>
      <w:hyperlink w:anchor="ref-tang2023">
        <w:r>
          <w:rPr>
            <w:rStyle w:val="Hyperlink"/>
            <w:vertAlign w:val="superscript"/>
          </w:rPr>
          <w:t xml:space="preserve">5</w:t>
        </w:r>
      </w:hyperlink>
      <w:r>
        <w:t xml:space="preserve"> </w:t>
      </w:r>
      <w:r>
        <w:t xml:space="preserve">pooled infection outcomes,</w:t>
      </w:r>
      <w:r>
        <w:t xml:space="preserve"> </w:t>
      </w:r>
      <w:r>
        <w:t xml:space="preserve">each with 2–4 studies per infection type. No prior meta-analysis</w:t>
      </w:r>
      <w:r>
        <w:t xml:space="preserve"> </w:t>
      </w:r>
      <w:r>
        <w:t xml:space="preserve">simultaneously evaluated CMV, bacterial, and fungal infections alongside</w:t>
      </w:r>
      <w:r>
        <w:t xml:space="preserve"> </w:t>
      </w:r>
      <w:r>
        <w:t xml:space="preserve">survival and GVHD. No prior study compared PTCy against both CNI-based</w:t>
      </w:r>
      <w:r>
        <w:t xml:space="preserve"> </w:t>
      </w:r>
      <w:r>
        <w:t xml:space="preserve">and ATG-based comparators in a unified framework, and none has proposed</w:t>
      </w:r>
      <w:r>
        <w:t xml:space="preserve"> </w:t>
      </w:r>
      <w:r>
        <w:t xml:space="preserve">a mechanistic explanation for the apparently contradictory infection</w:t>
      </w:r>
      <w:r>
        <w:t xml:space="preserve"> </w:t>
      </w:r>
      <w:r>
        <w:t xml:space="preserve">findings across comparator contexts.</w:t>
      </w:r>
    </w:p>
    <w:bookmarkEnd w:id="10"/>
    <w:bookmarkStart w:id="11" w:name="added-value-of-this-stud"/>
    <w:p>
      <w:pPr>
        <w:pStyle w:val="Heading3"/>
      </w:pPr>
      <w:r>
        <w:t xml:space="preserve">Added value of this stud</w:t>
      </w:r>
    </w:p>
    <w:p>
      <w:pPr>
        <w:pStyle w:val="FirstParagraph"/>
      </w:pPr>
      <w:r>
        <w:t xml:space="preserve">In this large systematic review and meta-analysis (251 studies, 177 758</w:t>
      </w:r>
      <w:r>
        <w:t xml:space="preserve"> </w:t>
      </w:r>
      <w:r>
        <w:t xml:space="preserve">patients), we were able to systematically pool CMV, bloodstream</w:t>
      </w:r>
      <w:r>
        <w:t xml:space="preserve"> </w:t>
      </w:r>
      <w:r>
        <w:t xml:space="preserve">infection, and invasive fungal infection risk in the context of GVHD and</w:t>
      </w:r>
      <w:r>
        <w:t xml:space="preserve"> </w:t>
      </w:r>
      <w:r>
        <w:t xml:space="preserve">survival within the same analytic framework. Its dual-comparator design</w:t>
      </w:r>
      <w:r>
        <w:t xml:space="preserve"> </w:t>
      </w:r>
      <w:r>
        <w:t xml:space="preserve">reveals that the effect of PTCy on CMV reverses direction depending on</w:t>
      </w:r>
      <w:r>
        <w:t xml:space="preserve"> </w:t>
      </w:r>
      <w:r>
        <w:t xml:space="preserve">the comparator’s own T-cell depletion depth. Greater infection risk was</w:t>
      </w:r>
      <w:r>
        <w:t xml:space="preserve"> </w:t>
      </w:r>
      <w:r>
        <w:t xml:space="preserve">observed versus CNI-based (odds ratio 1·26) but not ATG-based (0·97)</w:t>
      </w:r>
      <w:r>
        <w:t xml:space="preserve"> </w:t>
      </w:r>
      <w:r>
        <w:t xml:space="preserve">prophylaxis, suggesting T-cell depletion in general drives infection</w:t>
      </w:r>
      <w:r>
        <w:t xml:space="preserve"> </w:t>
      </w:r>
      <w:r>
        <w:t xml:space="preserve">risk. Bayesian mediation analysis demonstrated that excess risk of CMV</w:t>
      </w:r>
      <w:r>
        <w:t xml:space="preserve"> </w:t>
      </w:r>
      <w:r>
        <w:t xml:space="preserve">infection is is unchanged by adjustment for steroid exposure, whereas</w:t>
      </w:r>
      <w:r>
        <w:t xml:space="preserve"> </w:t>
      </w:r>
      <w:r>
        <w:t xml:space="preserve">the survival benefit of PTCy versus CNI-based prophylaxis is reduced by</w:t>
      </w:r>
      <w:r>
        <w:t xml:space="preserve"> </w:t>
      </w:r>
      <w:r>
        <w:t xml:space="preserve">steroid exposure.</w:t>
      </w:r>
    </w:p>
    <w:bookmarkEnd w:id="11"/>
    <w:bookmarkStart w:id="12" w:name="X063c91067dfd6e13a339814ca2b7c9463a0788b"/>
    <w:p>
      <w:pPr>
        <w:pStyle w:val="Heading3"/>
      </w:pPr>
      <w:r>
        <w:t xml:space="preserve">Implications of all the available evidence</w:t>
      </w:r>
    </w:p>
    <w:p>
      <w:pPr>
        <w:pStyle w:val="FirstParagraph"/>
      </w:pPr>
      <w:r>
        <w:t xml:space="preserve">PTCy improves overall survival and reduces GVHD regardless of comparator</w:t>
      </w:r>
      <w:r>
        <w:t xml:space="preserve"> </w:t>
      </w:r>
      <w:r>
        <w:t xml:space="preserve">prophylaxis. Its infection costs, elevated CMV reactivation and</w:t>
      </w:r>
      <w:r>
        <w:t xml:space="preserve"> </w:t>
      </w:r>
      <w:r>
        <w:t xml:space="preserve">bacteraemia, are attributable to T-cell depletion depth and similar to</w:t>
      </w:r>
      <w:r>
        <w:t xml:space="preserve"> </w:t>
      </w:r>
      <w:r>
        <w:t xml:space="preserve">ATG-based regimens. Clinical strategies to mitigate these risks should</w:t>
      </w:r>
      <w:r>
        <w:t xml:space="preserve"> </w:t>
      </w:r>
      <w:r>
        <w:t xml:space="preserve">target T-cell reconstitution (adoptive T-cell therapy, optimised</w:t>
      </w:r>
      <w:r>
        <w:t xml:space="preserve"> </w:t>
      </w:r>
      <w:r>
        <w:t xml:space="preserve">letermovir prophylaxis, earlier immunosuppression tapering) rather than</w:t>
      </w:r>
      <w:r>
        <w:t xml:space="preserve"> </w:t>
      </w:r>
      <w:r>
        <w:t xml:space="preserve">PTCy avoidance. Within-PTCy regimen variants show no detectable</w:t>
      </w:r>
      <w:r>
        <w:t xml:space="preserve"> </w:t>
      </w:r>
      <w:r>
        <w:t xml:space="preserve">differences, supporting flexibility in dose and backbone</w:t>
      </w:r>
      <w:r>
        <w:t xml:space="preserve"> </w:t>
      </w:r>
      <w:r>
        <w:t xml:space="preserve">immunosuppression selection.</w:t>
      </w:r>
    </w:p>
    <w:bookmarkEnd w:id="12"/>
    <w:bookmarkEnd w:id="13"/>
    <w:bookmarkStart w:id="14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Post-transplant cyclophosphamide (PTCy) has transformed the practice of</w:t>
      </w:r>
      <w:r>
        <w:t xml:space="preserve"> </w:t>
      </w:r>
      <w:r>
        <w:t xml:space="preserve">allogeneic haematopoietic stem-cell transplantation (allo-HSCT) by</w:t>
      </w:r>
      <w:r>
        <w:t xml:space="preserve"> </w:t>
      </w:r>
      <w:r>
        <w:t xml:space="preserve">enabling safe transplantation across HLA barriers and simplifying</w:t>
      </w:r>
      <w:r>
        <w:t xml:space="preserve"> </w:t>
      </w:r>
      <w:r>
        <w:t xml:space="preserve">graft-versus-host disease (GVHD) prophylaxis.</w:t>
      </w:r>
      <w:hyperlink w:anchor="ref-odonnell2002">
        <w:r>
          <w:rPr>
            <w:rStyle w:val="Hyperlink"/>
            <w:vertAlign w:val="superscript"/>
          </w:rPr>
          <w:t xml:space="preserve">7</w:t>
        </w:r>
      </w:hyperlink>
      <w:r>
        <w:t xml:space="preserve"> </w:t>
      </w:r>
      <w:r>
        <w:t xml:space="preserve">Originally</w:t>
      </w:r>
      <w:r>
        <w:t xml:space="preserve"> </w:t>
      </w:r>
      <w:r>
        <w:t xml:space="preserve">developed for haploidentical transplantation</w:t>
      </w:r>
      <w:hyperlink w:anchor="ref-luznik2008">
        <w:r>
          <w:rPr>
            <w:rStyle w:val="Hyperlink"/>
            <w:vertAlign w:val="superscript"/>
          </w:rPr>
          <w:t xml:space="preserve">8</w:t>
        </w:r>
      </w:hyperlink>
      <w:r>
        <w:t xml:space="preserve">, PTCy is now</w:t>
      </w:r>
      <w:r>
        <w:t xml:space="preserve"> </w:t>
      </w:r>
      <w:r>
        <w:t xml:space="preserve">widely used across all donor types</w:t>
      </w:r>
      <w:hyperlink w:anchor="ref-kanakry2016">
        <w:r>
          <w:rPr>
            <w:rStyle w:val="Hyperlink"/>
            <w:vertAlign w:val="superscript"/>
          </w:rPr>
          <w:t xml:space="preserve">9</w:t>
        </w:r>
      </w:hyperlink>
      <w:r>
        <w:t xml:space="preserve"> </w:t>
      </w:r>
      <w:r>
        <w:t xml:space="preserve">and the BMT CTN</w:t>
      </w:r>
      <w:r>
        <w:t xml:space="preserve"> </w:t>
      </w:r>
      <w:r>
        <w:t xml:space="preserve">1703/1801 randomised controlled trial (RCT) established its superiority</w:t>
      </w:r>
      <w:r>
        <w:t xml:space="preserve"> </w:t>
      </w:r>
      <w:r>
        <w:t xml:space="preserve">over conventional calcineurin inhibitor (CNI)-based prophylaxis for</w:t>
      </w:r>
      <w:r>
        <w:t xml:space="preserve"> </w:t>
      </w:r>
      <w:r>
        <w:t xml:space="preserve">GVHD-free, relapse-free survival.</w:t>
      </w:r>
      <w:hyperlink w:anchor="ref-bolanosmeade2023">
        <w:r>
          <w:rPr>
            <w:rStyle w:val="Hyperlink"/>
            <w:vertAlign w:val="superscript"/>
          </w:rPr>
          <w:t xml:space="preserve">10</w:t>
        </w:r>
      </w:hyperlink>
    </w:p>
    <w:p>
      <w:pPr>
        <w:pStyle w:val="BodyText"/>
      </w:pPr>
      <w:r>
        <w:t xml:space="preserve">Uncertainty persists regarding the magnaitude of PTCy on infection risk</w:t>
      </w:r>
      <w:r>
        <w:t xml:space="preserve"> </w:t>
      </w:r>
      <w:r>
        <w:t xml:space="preserve">after transplant. CIBMTR registry studies have reported that PTCy-based</w:t>
      </w:r>
      <w:r>
        <w:t xml:space="preserve"> </w:t>
      </w:r>
      <w:r>
        <w:t xml:space="preserve">regimens are associated with increased cytomegalovirus (CMV)</w:t>
      </w:r>
      <w:r>
        <w:t xml:space="preserve"> </w:t>
      </w:r>
      <w:r>
        <w:t xml:space="preserve">reactivation</w:t>
      </w:r>
      <w:hyperlink w:anchor="ref-goldsmith2021">
        <w:r>
          <w:rPr>
            <w:rStyle w:val="Hyperlink"/>
            <w:vertAlign w:val="superscript"/>
          </w:rPr>
          <w:t xml:space="preserve">11</w:t>
        </w:r>
      </w:hyperlink>
      <w:r>
        <w:t xml:space="preserve"> </w:t>
      </w:r>
      <w:r>
        <w:t xml:space="preserve">and a higher incidence of bacterial</w:t>
      </w:r>
      <w:r>
        <w:t xml:space="preserve"> </w:t>
      </w:r>
      <w:r>
        <w:t xml:space="preserve">bloodstream infections with comparable or reduced rates of fungal</w:t>
      </w:r>
      <w:r>
        <w:t xml:space="preserve"> </w:t>
      </w:r>
      <w:r>
        <w:t xml:space="preserve">infections.</w:t>
      </w:r>
      <w:hyperlink w:anchor="ref-papanicolaou2024">
        <w:r>
          <w:rPr>
            <w:rStyle w:val="Hyperlink"/>
            <w:vertAlign w:val="superscript"/>
          </w:rPr>
          <w:t xml:space="preserve">12</w:t>
        </w:r>
      </w:hyperlink>
      <w:r>
        <w:t xml:space="preserve">. This excess risk, however, has been</w:t>
      </w:r>
      <w:r>
        <w:t xml:space="preserve"> </w:t>
      </w:r>
      <w:r>
        <w:t xml:space="preserve">difficult to quantify overall because prior meta-analyses have been</w:t>
      </w:r>
      <w:r>
        <w:t xml:space="preserve"> </w:t>
      </w:r>
      <w:r>
        <w:t xml:space="preserve">restricted to single comparisons, limited to 6–20 studies, and have</w:t>
      </w:r>
      <w:r>
        <w:t xml:space="preserve"> </w:t>
      </w:r>
      <w:r>
        <w:t xml:space="preserve">rarely included infection as a primary outcome. The absence of a unified</w:t>
      </w:r>
      <w:r>
        <w:t xml:space="preserve"> </w:t>
      </w:r>
      <w:r>
        <w:t xml:space="preserve">analytic framework spanning multiple comparator contexts raises a</w:t>
      </w:r>
      <w:r>
        <w:t xml:space="preserve"> </w:t>
      </w:r>
      <w:r>
        <w:t xml:space="preserve">fundamental question: are infection risks attributable to PTCy itself,</w:t>
      </w:r>
      <w:r>
        <w:t xml:space="preserve"> </w:t>
      </w:r>
      <w:r>
        <w:t xml:space="preserve">or to the depth of T-cell depletion inherent to any intensive GVHD</w:t>
      </w:r>
      <w:r>
        <w:t xml:space="preserve"> </w:t>
      </w:r>
      <w:r>
        <w:t xml:space="preserve">prophylaxis ? Answering this question requires simultaneous comparison</w:t>
      </w:r>
      <w:r>
        <w:t xml:space="preserve"> </w:t>
      </w:r>
      <w:r>
        <w:t xml:space="preserve">of PTCy against both less depleting (CNI plus methotrexate) and more</w:t>
      </w:r>
      <w:r>
        <w:t xml:space="preserve"> </w:t>
      </w:r>
      <w:r>
        <w:t xml:space="preserve">depleting (anti-thymocyte globulin [ATG]) regimens.</w:t>
      </w:r>
    </w:p>
    <w:p>
      <w:pPr>
        <w:pStyle w:val="BodyText"/>
      </w:pPr>
      <w:r>
        <w:t xml:space="preserve">To address this question, we conducted a systematic review and Bayesian</w:t>
      </w:r>
      <w:r>
        <w:t xml:space="preserve"> </w:t>
      </w:r>
      <w:r>
        <w:t xml:space="preserve">meta-analysis to simultaneously evaluate survival, GVHD, and infection</w:t>
      </w:r>
      <w:r>
        <w:t xml:space="preserve"> </w:t>
      </w:r>
      <w:r>
        <w:t xml:space="preserve">outcomes of PTCy-based GVHD prophylaxis across three pre-specified</w:t>
      </w:r>
      <w:r>
        <w:t xml:space="preserve"> </w:t>
      </w:r>
      <w:r>
        <w:t xml:space="preserve">comparisons, with a GVHD-mediation analysis to decompose the pathways</w:t>
      </w:r>
      <w:r>
        <w:t xml:space="preserve"> </w:t>
      </w:r>
      <w:r>
        <w:t xml:space="preserve">through which PTCy influences clinical outcomes.</w:t>
      </w:r>
    </w:p>
    <w:bookmarkEnd w:id="14"/>
    <w:bookmarkStart w:id="19" w:name="methods"/>
    <w:p>
      <w:pPr>
        <w:pStyle w:val="Heading2"/>
      </w:pPr>
      <w:r>
        <w:t xml:space="preserve">Methods</w:t>
      </w:r>
    </w:p>
    <w:bookmarkStart w:id="15" w:name="search-strategy-and-selection-criteria"/>
    <w:p>
      <w:pPr>
        <w:pStyle w:val="Heading3"/>
      </w:pPr>
      <w:r>
        <w:t xml:space="preserve">Search strategy and selection criteria</w:t>
      </w:r>
    </w:p>
    <w:p>
      <w:pPr>
        <w:pStyle w:val="FirstParagraph"/>
      </w:pPr>
      <w:r>
        <w:t xml:space="preserve">This systematic review and meta-analysis was conducted in accordance</w:t>
      </w:r>
      <w:r>
        <w:t xml:space="preserve"> </w:t>
      </w:r>
      <w:r>
        <w:t xml:space="preserve">with PRISMA 2020 guidelines and registered with PROSPERO</w:t>
      </w:r>
      <w:r>
        <w:t xml:space="preserve"> </w:t>
      </w:r>
      <w:r>
        <w:t xml:space="preserve">(CRD420261372156). We searched EMBASE, PubMed, and SCOPUS from database</w:t>
      </w:r>
      <w:r>
        <w:t xml:space="preserve"> </w:t>
      </w:r>
      <w:r>
        <w:t xml:space="preserve">inception to April 30, 2026 for studies comparing PTCy-based GVHD</w:t>
      </w:r>
      <w:r>
        <w:t xml:space="preserve"> </w:t>
      </w:r>
      <w:r>
        <w:t xml:space="preserve">prophylaxis with alternative regimens in adult (≥18 years) allo-HSCT</w:t>
      </w:r>
      <w:r>
        <w:t xml:space="preserve"> </w:t>
      </w:r>
      <w:r>
        <w:t xml:space="preserve">recipients. The complete search strategy for PubMed is provided in the</w:t>
      </w:r>
      <w:r>
        <w:t xml:space="preserve"> </w:t>
      </w:r>
      <w:r>
        <w:t xml:space="preserve">appendix (pp 2–4). Reference lists of included studies and relevant</w:t>
      </w:r>
      <w:r>
        <w:t xml:space="preserve"> </w:t>
      </w:r>
      <w:r>
        <w:t xml:space="preserve">reviews were hand-searched. No language restrictions were applied at the</w:t>
      </w:r>
      <w:r>
        <w:t xml:space="preserve"> </w:t>
      </w:r>
      <w:r>
        <w:t xml:space="preserve">search stage; studies not available in English were excluded at</w:t>
      </w:r>
      <w:r>
        <w:t xml:space="preserve"> </w:t>
      </w:r>
      <w:r>
        <w:t xml:space="preserve">full-text review.</w:t>
      </w:r>
    </w:p>
    <w:p>
      <w:pPr>
        <w:pStyle w:val="BodyText"/>
      </w:pPr>
      <w:r>
        <w:t xml:space="preserve">Studies were eligible if they reported at least one pre-specified</w:t>
      </w:r>
      <w:r>
        <w:t xml:space="preserve"> </w:t>
      </w:r>
      <w:r>
        <w:t xml:space="preserve">outcome with extractable event counts (numerator and denominator) for at</w:t>
      </w:r>
      <w:r>
        <w:t xml:space="preserve"> </w:t>
      </w:r>
      <w:r>
        <w:t xml:space="preserve">least two arms differing in GVHD prophylaxis strategy. Conference</w:t>
      </w:r>
      <w:r>
        <w:t xml:space="preserve"> </w:t>
      </w:r>
      <w:r>
        <w:t xml:space="preserve">abstracts were excluded. We defined three pre-specified comparisons: C1,</w:t>
      </w:r>
      <w:r>
        <w:t xml:space="preserve"> </w:t>
      </w:r>
      <w:r>
        <w:t xml:space="preserve">PTCy (with or without CNI or mycophenolate mofetil [MMF]) versus CNI</w:t>
      </w:r>
      <w:r>
        <w:t xml:space="preserve"> </w:t>
      </w:r>
      <w:r>
        <w:t xml:space="preserve">plus methotrexate (MTX) or MMF without ATG or T-cell depletion; C2, PTCy</w:t>
      </w:r>
      <w:r>
        <w:t xml:space="preserve"> </w:t>
      </w:r>
      <w:r>
        <w:t xml:space="preserve">versus ATG-based prophylaxis; and C3, within-PTCy regimen variants.</w:t>
      </w:r>
    </w:p>
    <w:p>
      <w:pPr>
        <w:pStyle w:val="BodyText"/>
      </w:pPr>
      <w:r>
        <w:t xml:space="preserve">Two reviewers (MS and REL) screened titles and abstracts using the</w:t>
      </w:r>
      <w:r>
        <w:t xml:space="preserve"> </w:t>
      </w:r>
      <w:r>
        <w:t xml:space="preserve">Covidence platform and conducted data extraction using a structured</w:t>
      </w:r>
      <w:r>
        <w:t xml:space="preserve"> </w:t>
      </w:r>
      <w:r>
        <w:t xml:space="preserve">template (appendix p 5). AI-data tools (Claude Code, Anthropic, Inc.)</w:t>
      </w:r>
      <w:r>
        <w:t xml:space="preserve"> </w:t>
      </w:r>
      <w:r>
        <w:t xml:space="preserve">was used to facilitate data extraction from PDF source documents to a</w:t>
      </w:r>
      <w:r>
        <w:t xml:space="preserve"> </w:t>
      </w:r>
      <w:r>
        <w:t xml:space="preserve">data collection form, which were manually verified against source</w:t>
      </w:r>
      <w:r>
        <w:t xml:space="preserve"> </w:t>
      </w:r>
      <w:r>
        <w:t xml:space="preserve">publications. Risk of bias was assessed using ROBINS-I for observational</w:t>
      </w:r>
      <w:r>
        <w:t xml:space="preserve"> </w:t>
      </w:r>
      <w:r>
        <w:t xml:space="preserve">studies and RoB 2 for RCTs. Studies sharing patient cohorts were flagged</w:t>
      </w:r>
      <w:r>
        <w:t xml:space="preserve"> </w:t>
      </w:r>
      <w:r>
        <w:t xml:space="preserve">and the most comprehensive publication was designated as primary</w:t>
      </w:r>
      <w:r>
        <w:t xml:space="preserve"> </w:t>
      </w:r>
      <w:r>
        <w:t xml:space="preserve">publication for each cohort–outcome combination. All pooled estimates</w:t>
      </w:r>
      <w:r>
        <w:t xml:space="preserve"> </w:t>
      </w:r>
      <w:r>
        <w:t xml:space="preserve">reported here were derived from the from this cohort-deduplicated</w:t>
      </w:r>
      <w:r>
        <w:t xml:space="preserve"> </w:t>
      </w:r>
      <w:r>
        <w:t xml:space="preserve">dataset, so that no patient contributes more than once to any single</w:t>
      </w:r>
      <w:r>
        <w:t xml:space="preserve"> </w:t>
      </w:r>
      <w:r>
        <w:t xml:space="preserve">outcome. The cohort overlap map is provided in the appendix (p 24).</w:t>
      </w:r>
    </w:p>
    <w:bookmarkEnd w:id="15"/>
    <w:bookmarkStart w:id="16" w:name="outcomes"/>
    <w:p>
      <w:pPr>
        <w:pStyle w:val="Heading3"/>
      </w:pPr>
      <w:r>
        <w:t xml:space="preserve">Outcomes</w:t>
      </w:r>
    </w:p>
    <w:p>
      <w:pPr>
        <w:pStyle w:val="FirstParagraph"/>
      </w:pPr>
      <w:r>
        <w:t xml:space="preserve">The primary outcome was overall survival (OS). Secondary outcomes</w:t>
      </w:r>
      <w:r>
        <w:t xml:space="preserve"> </w:t>
      </w:r>
      <w:r>
        <w:t xml:space="preserve">included non-relapse mortality (NRM), acute GVHD grade II–IV (at day</w:t>
      </w:r>
      <w:r>
        <w:t xml:space="preserve"> </w:t>
      </w:r>
      <w:r>
        <w:t xml:space="preserve">+100), chronic GVHD (moderate to severe), CMV reactivation (any),</w:t>
      </w:r>
      <w:r>
        <w:t xml:space="preserve"> </w:t>
      </w:r>
      <w:r>
        <w:t xml:space="preserve">bloodstream infection (BSI, any pathogen), invasive fungal infection</w:t>
      </w:r>
      <w:r>
        <w:t xml:space="preserve"> </w:t>
      </w:r>
      <w:r>
        <w:t xml:space="preserve">(IFI, any), relapse-related mortality (RRM), BK virus reactivation, and</w:t>
      </w:r>
      <w:r>
        <w:t xml:space="preserve"> </w:t>
      </w:r>
      <w:r>
        <w:t xml:space="preserve">infection-related mortality (IRM).</w:t>
      </w:r>
    </w:p>
    <w:bookmarkEnd w:id="16"/>
    <w:bookmarkStart w:id="17" w:name="statistical-analysis"/>
    <w:p>
      <w:pPr>
        <w:pStyle w:val="Heading3"/>
      </w:pPr>
      <w:r>
        <w:t xml:space="preserve">Statistical analysis</w:t>
      </w:r>
    </w:p>
    <w:p>
      <w:pPr>
        <w:pStyle w:val="FirstParagraph"/>
      </w:pPr>
      <w:r>
        <w:t xml:space="preserve">We fitted Bayesian random-effects binomial-logistic regression models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brms</w:t>
      </w:r>
      <w:r>
        <w:t xml:space="preserve"> </w:t>
      </w:r>
      <w:r>
        <w:t xml:space="preserve">(version 2.23.0) with an</w:t>
      </w:r>
      <w:r>
        <w:t xml:space="preserve"> </w:t>
      </w:r>
      <w:r>
        <w:rPr>
          <w:rStyle w:val="VerbatimChar"/>
        </w:rPr>
        <w:t xml:space="preserve">rstan</w:t>
      </w:r>
      <w:r>
        <w:t xml:space="preserve"> </w:t>
      </w:r>
      <w:r>
        <w:t xml:space="preserve">backend in R (version</w:t>
      </w:r>
      <w:r>
        <w:t xml:space="preserve"> </w:t>
      </w:r>
      <w:r>
        <w:t xml:space="preserve">4.6.0). The primary model (M1) estimated the PTCy treatment effect</w:t>
      </w:r>
      <w:r>
        <w:t xml:space="preserve"> </w:t>
      </w:r>
      <w:r>
        <w:t xml:space="preserve">adjusted for timepoint (early [day +100 or +180] versus late [≥1</w:t>
      </w:r>
      <w:r>
        <w:t xml:space="preserve"> </w:t>
      </w:r>
      <w:r>
        <w:t xml:space="preserve">year]) with a random intercept for study. Weakly informative priors</w:t>
      </w:r>
      <w:r>
        <w:t xml:space="preserve"> </w:t>
      </w:r>
      <w:r>
        <w:t xml:space="preserve">were specified: N(0, 2·5) on fixed effects, N(0, 1·5) on the intercept,</w:t>
      </w:r>
      <w:r>
        <w:t xml:space="preserve"> </w:t>
      </w:r>
      <w:r>
        <w:t xml:space="preserve">and Student t(3, 0, 1) on the between-study standard deviation (τ). Four</w:t>
      </w:r>
      <w:r>
        <w:t xml:space="preserve"> </w:t>
      </w:r>
      <w:r>
        <w:t xml:space="preserve">chains of 4000 iterations (1000 warmup) were run with</w:t>
      </w:r>
      <w:r>
        <w:t xml:space="preserve"> </w:t>
      </w:r>
      <w:r>
        <w:rPr>
          <w:rStyle w:val="VerbatimChar"/>
        </w:rPr>
        <w:t xml:space="preserve">adapt_delta</w:t>
      </w:r>
      <w:r>
        <w:t xml:space="preserve"> </w:t>
      </w:r>
      <w:r>
        <w:t xml:space="preserve">=</w:t>
      </w:r>
      <w:r>
        <w:t xml:space="preserve"> </w:t>
      </w:r>
      <w:r>
        <w:t xml:space="preserve">0·95. Convergence was assessed by R̂ and effective sample size.</w:t>
      </w:r>
    </w:p>
    <w:p>
      <w:pPr>
        <w:pStyle w:val="BodyText"/>
      </w:pPr>
      <w:r>
        <w:t xml:space="preserve">The GVHD-mediation model (M2) added arm-level systemic steroid exposure</w:t>
      </w:r>
      <w:r>
        <w:t xml:space="preserve"> </w:t>
      </w:r>
      <w:r>
        <w:t xml:space="preserve">percentage as a covariate, providing an estimate of the PTCy effect</w:t>
      </w:r>
      <w:r>
        <w:t xml:space="preserve"> </w:t>
      </w:r>
      <w:r>
        <w:t xml:space="preserve">independent of GVHD-mediated steroid burden. Attenuation of the</w:t>
      </w:r>
      <w:r>
        <w:t xml:space="preserve"> </w:t>
      </w:r>
      <w:r>
        <w:t xml:space="preserve">treatment effect from M1 to M2 was interpreted as evidence of</w:t>
      </w:r>
      <w:r>
        <w:t xml:space="preserve"> </w:t>
      </w:r>
      <w:r>
        <w:t xml:space="preserve">steroid-mediated confounding.</w:t>
      </w:r>
    </w:p>
    <w:p>
      <w:pPr>
        <w:pStyle w:val="BodyText"/>
      </w:pPr>
      <w:r>
        <w:t xml:space="preserve">Pre-specified sensitivity analyses included restriction to post-2020</w:t>
      </w:r>
      <w:r>
        <w:t xml:space="preserve"> </w:t>
      </w:r>
      <w:r>
        <w:t xml:space="preserve">publications (beginning of letermovir prophylaxis),</w:t>
      </w:r>
      <w:r>
        <w:t xml:space="preserve"> </w:t>
      </w:r>
      <w:r>
        <w:t xml:space="preserve">haploidentical-dominant cohorts (≥50% haploidentical donors), and</w:t>
      </w:r>
      <w:r>
        <w:t xml:space="preserve"> </w:t>
      </w:r>
      <w:r>
        <w:t xml:space="preserve">leave-one-out analysis. Frequentist random-effects models (restricted</w:t>
      </w:r>
      <w:r>
        <w:t xml:space="preserve"> </w:t>
      </w:r>
      <w:r>
        <w:t xml:space="preserve">maximum likelihood [REML],</w:t>
      </w:r>
      <w:r>
        <w:t xml:space="preserve"> </w:t>
      </w:r>
      <w:r>
        <w:rPr>
          <w:rStyle w:val="VerbatimChar"/>
        </w:rPr>
        <w:t xml:space="preserve">metafor</w:t>
      </w:r>
      <w:r>
        <w:t xml:space="preserve"> </w:t>
      </w:r>
      <w:r>
        <w:t xml:space="preserve">version 5.0.1) were fitted as</w:t>
      </w:r>
      <w:r>
        <w:t xml:space="preserve"> </w:t>
      </w:r>
      <w:r>
        <w:t xml:space="preserve">concordance checks. Publication bias was assessed using robust Bayesian</w:t>
      </w:r>
      <w:r>
        <w:t xml:space="preserve"> </w:t>
      </w:r>
      <w:r>
        <w:t xml:space="preserve">model-averaging (RoBMA). Certainty of evidence was assessed using the</w:t>
      </w:r>
      <w:r>
        <w:t xml:space="preserve"> </w:t>
      </w:r>
      <w:r>
        <w:t xml:space="preserve">GRADE framework adapted for observational evidence.</w:t>
      </w:r>
    </w:p>
    <w:bookmarkEnd w:id="17"/>
    <w:bookmarkStart w:id="18" w:name="role-of-the-funding-source"/>
    <w:p>
      <w:pPr>
        <w:pStyle w:val="Heading3"/>
      </w:pPr>
      <w:r>
        <w:t xml:space="preserve">Role of the funding source</w:t>
      </w:r>
    </w:p>
    <w:p>
      <w:pPr>
        <w:pStyle w:val="FirstParagraph"/>
      </w:pPr>
      <w:r>
        <w:t xml:space="preserve">There was no funding source for this study.</w:t>
      </w:r>
    </w:p>
    <w:bookmarkEnd w:id="18"/>
    <w:bookmarkEnd w:id="19"/>
    <w:bookmarkStart w:id="26" w:name="results"/>
    <w:p>
      <w:pPr>
        <w:pStyle w:val="Heading2"/>
      </w:pPr>
      <w:r>
        <w:t xml:space="preserve">Results</w:t>
      </w:r>
    </w:p>
    <w:bookmarkStart w:id="20" w:name="search-results-and-study-characteristics"/>
    <w:p>
      <w:pPr>
        <w:pStyle w:val="Heading3"/>
      </w:pPr>
      <w:r>
        <w:t xml:space="preserve">Search results and study characteristics</w:t>
      </w:r>
    </w:p>
    <w:p>
      <w:pPr>
        <w:pStyle w:val="FirstParagraph"/>
      </w:pPr>
      <w:r>
        <w:t xml:space="preserve">The database search identified 4145 records (EMBASE 2603, PubMed 1061,</w:t>
      </w:r>
      <w:r>
        <w:t xml:space="preserve"> </w:t>
      </w:r>
      <w:r>
        <w:t xml:space="preserve">SCOPUS 481), of which 1220 were duplicates (</w:t>
      </w:r>
      <w:hyperlink w:anchor="fig-prisma">
        <w:r>
          <w:rPr>
            <w:rStyle w:val="Hyperlink"/>
          </w:rPr>
          <w:t xml:space="preserve">Figure 1</w:t>
        </w:r>
      </w:hyperlink>
      <w:r>
        <w:t xml:space="preserve">). After</w:t>
      </w:r>
      <w:r>
        <w:t xml:space="preserve"> </w:t>
      </w:r>
      <w:r>
        <w:t xml:space="preserve">screening 2925 titles and abstracts, 517 articles were sought for</w:t>
      </w:r>
      <w:r>
        <w:t xml:space="preserve"> </w:t>
      </w:r>
      <w:r>
        <w:t xml:space="preserve">full-text review; 52 could not be retrieved or were not in English. Of</w:t>
      </w:r>
      <w:r>
        <w:t xml:space="preserve"> </w:t>
      </w:r>
      <w:r>
        <w:t xml:space="preserve">465 full-text articles assessed, 214 were excluded (appendix pp 6–14),</w:t>
      </w:r>
      <w:r>
        <w:t xml:space="preserve"> </w:t>
      </w:r>
      <w:r>
        <w:t xml:space="preserve">leaving 251 studies for the systematic review. Of these, 117 studies</w:t>
      </w:r>
      <w:r>
        <w:t xml:space="preserve"> </w:t>
      </w:r>
      <w:r>
        <w:t xml:space="preserve">with extractable event counts contributed to the meta-analysis across</w:t>
      </w:r>
      <w:r>
        <w:t xml:space="preserve"> </w:t>
      </w:r>
      <w:r>
        <w:t xml:space="preserve">three comparisons: C1 (83 studies), C2 (42 studies), and C3 (13</w:t>
      </w:r>
      <w:r>
        <w:t xml:space="preserve"> </w:t>
      </w:r>
      <w:r>
        <w:t xml:space="preserve">studies).</w:t>
      </w:r>
    </w:p>
    <w:p>
      <w:pPr>
        <w:pStyle w:val="BodyText"/>
      </w:pPr>
      <w:r>
        <w:t xml:space="preserve">The 225 comparative studies encompassed 520 arms and 177 758 patients</w:t>
      </w:r>
      <w:r>
        <w:t xml:space="preserve"> </w:t>
      </w:r>
      <w:r>
        <w:t xml:space="preserve">(</w:t>
      </w:r>
      <w:hyperlink w:anchor="tbl-characteristics">
        <w:r>
          <w:rPr>
            <w:rStyle w:val="Hyperlink"/>
          </w:rPr>
          <w:t xml:space="preserve">Table 1</w:t>
        </w:r>
      </w:hyperlink>
      <w:r>
        <w:t xml:space="preserve">). Most were retrospective cohorts (132 [59%]) or</w:t>
      </w:r>
      <w:r>
        <w:t xml:space="preserve"> </w:t>
      </w:r>
      <w:r>
        <w:t xml:space="preserve">registry analyses (62 [28%]); 14 (6%) were RCTs. Median publication</w:t>
      </w:r>
      <w:r>
        <w:t xml:space="preserve"> </w:t>
      </w:r>
      <w:r>
        <w:t xml:space="preserve">year was 2023 (IQR 2021–24), with median follow-up of 26 months (IQR</w:t>
      </w:r>
      <w:r>
        <w:t xml:space="preserve"> </w:t>
      </w:r>
      <w:r>
        <w:t xml:space="preserve">20–36). PTCy arms were predominantly haploidentical donor transplants</w:t>
      </w:r>
      <w:r>
        <w:t xml:space="preserve"> </w:t>
      </w:r>
      <w:r>
        <w:t xml:space="preserve">(127 [47%]) whereas comparator arms were predominantly matched</w:t>
      </w:r>
      <w:r>
        <w:t xml:space="preserve"> </w:t>
      </w:r>
      <w:r>
        <w:t xml:space="preserve">unrelated (94 [38%]) or matched sibling (54 [22%]) donor</w:t>
      </w:r>
      <w:r>
        <w:t xml:space="preserve"> </w:t>
      </w:r>
      <w:r>
        <w:t xml:space="preserve">transplants.</w:t>
      </w:r>
    </w:p>
    <w:bookmarkEnd w:id="20"/>
    <w:bookmarkStart w:id="21" w:name="risk-of-bias"/>
    <w:p>
      <w:pPr>
        <w:pStyle w:val="Heading3"/>
      </w:pPr>
      <w:r>
        <w:t xml:space="preserve">Risk of bias</w:t>
      </w:r>
    </w:p>
    <w:p>
      <w:pPr>
        <w:pStyle w:val="FirstParagraph"/>
      </w:pPr>
      <w:r>
        <w:t xml:space="preserve">Of 227 observational studies assessed with ROBINS-I, 150 (66%) were at</w:t>
      </w:r>
      <w:r>
        <w:t xml:space="preserve"> </w:t>
      </w:r>
      <w:r>
        <w:t xml:space="preserve">moderate risk of bias and 71 (31%) at serious risk, primarily due to</w:t>
      </w:r>
      <w:r>
        <w:t xml:space="preserve"> </w:t>
      </w:r>
      <w:r>
        <w:t xml:space="preserve">confounding by donor type and conditioning intensity (appendix pp</w:t>
      </w:r>
      <w:r>
        <w:t xml:space="preserve"> </w:t>
      </w:r>
      <w:r>
        <w:t xml:space="preserve">15–17). Of 14 RCTs assessed with RoB 2, 11 had some concerns</w:t>
      </w:r>
      <w:r>
        <w:t xml:space="preserve"> </w:t>
      </w:r>
      <w:r>
        <w:t xml:space="preserve">(predominantly unblinded outcome assessment), two were at high risk, and</w:t>
      </w:r>
      <w:r>
        <w:t xml:space="preserve"> </w:t>
      </w:r>
      <w:r>
        <w:t xml:space="preserve">one was at low risk of bias.</w:t>
      </w:r>
    </w:p>
    <w:bookmarkEnd w:id="21"/>
    <w:bookmarkStart w:id="22" w:name="X5c9b6f36566ad3b61b4384c10b054b6b6950933"/>
    <w:p>
      <w:pPr>
        <w:pStyle w:val="Heading3"/>
      </w:pPr>
      <w:r>
        <w:t xml:space="preserve">Comparison 1: PTCy versus CNI plus MTX or MMF</w:t>
      </w:r>
    </w:p>
    <w:p>
      <w:pPr>
        <w:pStyle w:val="FirstParagraph"/>
      </w:pPr>
      <w:r>
        <w:t xml:space="preserve">PTCy was associated with improved OS (k = 35, odds ratio 0·84 [95%</w:t>
      </w:r>
      <w:r>
        <w:t xml:space="preserve"> </w:t>
      </w:r>
      <w:r>
        <w:t xml:space="preserve">credible interval 0·76–0·92];</w:t>
      </w:r>
      <w:r>
        <w:t xml:space="preserve"> </w:t>
      </w:r>
      <w:hyperlink w:anchor="fig-os">
        <w:r>
          <w:rPr>
            <w:rStyle w:val="Hyperlink"/>
          </w:rPr>
          <w:t xml:space="preserve">Figure 2</w:t>
        </w:r>
      </w:hyperlink>
      <w:r>
        <w:t xml:space="preserve">). Adjusting for steroid exposure</w:t>
      </w:r>
      <w:r>
        <w:t xml:space="preserve"> </w:t>
      </w:r>
      <w:r>
        <w:t xml:space="preserve">diminished the association (M2 1·04 [0·89–1·22], k = 28), suggesting</w:t>
      </w:r>
      <w:r>
        <w:t xml:space="preserve"> </w:t>
      </w:r>
      <w:r>
        <w:t xml:space="preserve">that the survival advantage is mediated through GVHD suppression and the</w:t>
      </w:r>
      <w:r>
        <w:t xml:space="preserve"> </w:t>
      </w:r>
      <w:r>
        <w:t xml:space="preserve">steroid burden that follows it rather than through an additional direct</w:t>
      </w:r>
      <w:r>
        <w:t xml:space="preserve"> </w:t>
      </w:r>
      <w:r>
        <w:t xml:space="preserve">effect of PTCy. NRM showed a non-significant trend toward benefit (k =</w:t>
      </w:r>
      <w:r>
        <w:t xml:space="preserve"> </w:t>
      </w:r>
      <w:r>
        <w:t xml:space="preserve">12, 0·88 [0·66–1·18]). Relapse-related mortality was reduced (k = 34,</w:t>
      </w:r>
      <w:r>
        <w:t xml:space="preserve"> </w:t>
      </w:r>
      <w:r>
        <w:t xml:space="preserve">0·86 [0·77–0·97]), and this estimate was unchanged by steroid</w:t>
      </w:r>
      <w:r>
        <w:t xml:space="preserve"> </w:t>
      </w:r>
      <w:r>
        <w:t xml:space="preserve">adjustment (M2 0·85 [0·73–0·99], k = 27).</w:t>
      </w:r>
    </w:p>
    <w:p>
      <w:pPr>
        <w:pStyle w:val="BodyText"/>
      </w:pPr>
      <w:r>
        <w:t xml:space="preserve">Acute GVHD grade II–IV was substantially reduced (k = 28, 0·67</w:t>
      </w:r>
      <w:r>
        <w:t xml:space="preserve"> </w:t>
      </w:r>
      <w:r>
        <w:t xml:space="preserve">[0·59–0·78]), as was moderate-to-severe chronic GVHD (k = 19, 0·47</w:t>
      </w:r>
      <w:r>
        <w:t xml:space="preserve"> </w:t>
      </w:r>
      <w:r>
        <w:t xml:space="preserve">[0·38–0·57]).</w:t>
      </w:r>
    </w:p>
    <w:p>
      <w:pPr>
        <w:pStyle w:val="BodyText"/>
      </w:pPr>
      <w:r>
        <w:t xml:space="preserve">CMV reactivation increased in the PTCy group (k = 22, 1·26 [1·07–1·47];</w:t>
      </w:r>
      <w:r>
        <w:t xml:space="preserve"> </w:t>
      </w:r>
      <w:hyperlink w:anchor="fig-cmv">
        <w:r>
          <w:rPr>
            <w:rStyle w:val="Hyperlink"/>
          </w:rPr>
          <w:t xml:space="preserve">Figure 3</w:t>
        </w:r>
      </w:hyperlink>
      <w:r>
        <w:t xml:space="preserve">). This effect was steroid-independent (M2 1·25 [1·01–1·54]) and</w:t>
      </w:r>
      <w:r>
        <w:t xml:space="preserve"> </w:t>
      </w:r>
      <w:r>
        <w:t xml:space="preserve">strengthened in post-2020 studies (k = 17, 1·53 [1·28–1·85]) and</w:t>
      </w:r>
      <w:r>
        <w:t xml:space="preserve"> </w:t>
      </w:r>
      <w:r>
        <w:t xml:space="preserve">haploidentical-dominant cohorts (k = 12, 1·38 [1·12–1·71]). BSI were</w:t>
      </w:r>
      <w:r>
        <w:t xml:space="preserve"> </w:t>
      </w:r>
      <w:r>
        <w:t xml:space="preserve">also elevated with PTCy prophylaxis (k = 6, 1·87 [1·33–2·62]) . BK virus</w:t>
      </w:r>
      <w:r>
        <w:t xml:space="preserve"> </w:t>
      </w:r>
      <w:r>
        <w:t xml:space="preserve">infection reactivation was associated with the largest infection effect</w:t>
      </w:r>
      <w:r>
        <w:t xml:space="preserve"> </w:t>
      </w:r>
      <w:r>
        <w:t xml:space="preserve">(k = 11, 2·48 [1·82–3·38];</w:t>
      </w:r>
      <w:r>
        <w:t xml:space="preserve"> </w:t>
      </w:r>
      <w:hyperlink w:anchor="fig-infections">
        <w:r>
          <w:rPr>
            <w:rStyle w:val="Hyperlink"/>
          </w:rPr>
          <w:t xml:space="preserve">Figure 4</w:t>
        </w:r>
      </w:hyperlink>
      <w:r>
        <w:t xml:space="preserve">). Conversely, IFI was reduced</w:t>
      </w:r>
      <w:r>
        <w:t xml:space="preserve"> </w:t>
      </w:r>
      <w:r>
        <w:t xml:space="preserve">(k = 6, 0·43 [0·29–0·63]), though extreme heterogeneity was present (τ =</w:t>
      </w:r>
      <w:r>
        <w:t xml:space="preserve"> </w:t>
      </w:r>
      <w:r>
        <w:t xml:space="preserve">1·53). Infection-related mortality was elevated in patients receiving</w:t>
      </w:r>
      <w:r>
        <w:t xml:space="preserve"> </w:t>
      </w:r>
      <w:r>
        <w:t xml:space="preserve">PTCy versus CNI with MTX or MMF, with a credible interval that reached</w:t>
      </w:r>
      <w:r>
        <w:t xml:space="preserve"> </w:t>
      </w:r>
      <w:r>
        <w:t xml:space="preserve">the null (k = 13, 1·19 [1·00–1·43]).</w:t>
      </w:r>
    </w:p>
    <w:bookmarkEnd w:id="22"/>
    <w:bookmarkStart w:id="23" w:name="comparison-2-ptcy-versus-atg"/>
    <w:p>
      <w:pPr>
        <w:pStyle w:val="Heading3"/>
      </w:pPr>
      <w:r>
        <w:t xml:space="preserve">Comparison 2: PTCy versus ATG</w:t>
      </w:r>
    </w:p>
    <w:p>
      <w:pPr>
        <w:pStyle w:val="FirstParagraph"/>
      </w:pPr>
      <w:r>
        <w:t xml:space="preserve">PTCy improved OS versus ATG (k = 9, odds ratio 0·83 [0·75–0·92]), with</w:t>
      </w:r>
      <w:r>
        <w:t xml:space="preserve"> </w:t>
      </w:r>
      <w:r>
        <w:t xml:space="preserve">negligible steroid-mediated attenuation (M2 0·81 [0·70–0·93], k = 8).</w:t>
      </w:r>
      <w:r>
        <w:t xml:space="preserve"> </w:t>
      </w:r>
      <w:r>
        <w:t xml:space="preserve">Acute GVHD was reduced (k = 8, 0·63 [0·47–0·83]). NRM could not be</w:t>
      </w:r>
      <w:r>
        <w:t xml:space="preserve"> </w:t>
      </w:r>
      <w:r>
        <w:t xml:space="preserve">assessed (k = 2). CMV reactivation was not significantly different (k =</w:t>
      </w:r>
      <w:r>
        <w:t xml:space="preserve"> </w:t>
      </w:r>
      <w:r>
        <w:t xml:space="preserve">12, 0·97 [0·77–1·23]), contrasting with the excess seen in C1, and was</w:t>
      </w:r>
      <w:r>
        <w:t xml:space="preserve"> </w:t>
      </w:r>
      <w:r>
        <w:t xml:space="preserve">likewise unaffected by steroid adjustment (M2 1·00 [0·79–1·26]).</w:t>
      </w:r>
      <w:r>
        <w:t xml:space="preserve"> </w:t>
      </w:r>
      <w:r>
        <w:t xml:space="preserve">Infection-related mortality was not increased (k = 7, 0·90</w:t>
      </w:r>
      <w:r>
        <w:t xml:space="preserve"> </w:t>
      </w:r>
      <w:r>
        <w:t xml:space="preserve">[0·74–1·09]).</w:t>
      </w:r>
    </w:p>
    <w:bookmarkEnd w:id="23"/>
    <w:bookmarkStart w:id="24" w:name="comparison-3-within-ptcy-variants"/>
    <w:p>
      <w:pPr>
        <w:pStyle w:val="Heading3"/>
      </w:pPr>
      <w:r>
        <w:t xml:space="preserve">Comparison 3: within-PTCy variants</w:t>
      </w:r>
    </w:p>
    <w:p>
      <w:pPr>
        <w:pStyle w:val="FirstParagraph"/>
      </w:pPr>
      <w:r>
        <w:t xml:space="preserve">No significant differences were detected between PTCy-based regimen</w:t>
      </w:r>
      <w:r>
        <w:t xml:space="preserve"> </w:t>
      </w:r>
      <w:r>
        <w:t xml:space="preserve">variants for any outcome (OS 1·11, NRM 0·96, acute GVHD 1·00, chronic</w:t>
      </w:r>
      <w:r>
        <w:t xml:space="preserve"> </w:t>
      </w:r>
      <w:r>
        <w:t xml:space="preserve">GVHD 0·67, relapse-related mortality 0·80; all credible intervals</w:t>
      </w:r>
      <w:r>
        <w:t xml:space="preserve"> </w:t>
      </w:r>
      <w:r>
        <w:t xml:space="preserve">crossed the null; k = 4–7 per outcome).</w:t>
      </w:r>
    </w:p>
    <w:bookmarkEnd w:id="24"/>
    <w:bookmarkStart w:id="25" w:name="certainty-of-evidence"/>
    <w:p>
      <w:pPr>
        <w:pStyle w:val="Heading3"/>
      </w:pPr>
      <w:r>
        <w:t xml:space="preserve">Certainty of evidence</w:t>
      </w:r>
    </w:p>
    <w:p>
      <w:pPr>
        <w:pStyle w:val="FirstParagraph"/>
      </w:pPr>
      <w:r>
        <w:t xml:space="preserve">GRADE certainty was low for C1 OS, C1 acute GVHD, C1 CMV, C2 OS, and C2</w:t>
      </w:r>
      <w:r>
        <w:t xml:space="preserve"> </w:t>
      </w:r>
      <w:r>
        <w:t xml:space="preserve">acute GVHD, and very low for C1 NRM, C1 BSI, C1 IFI, C2 CMV, and C2 BSI</w:t>
      </w:r>
      <w:r>
        <w:t xml:space="preserve"> </w:t>
      </w:r>
      <w:r>
        <w:t xml:space="preserve">(</w:t>
      </w:r>
      <w:hyperlink w:anchor="tbl-results">
        <w:r>
          <w:rPr>
            <w:rStyle w:val="Hyperlink"/>
          </w:rPr>
          <w:t xml:space="preserve">Table 2</w:t>
        </w:r>
      </w:hyperlink>
      <w:r>
        <w:t xml:space="preserve">). No outcome achieved moderate or high certainty. The C1</w:t>
      </w:r>
      <w:r>
        <w:t xml:space="preserve"> </w:t>
      </w:r>
      <w:r>
        <w:t xml:space="preserve">CMV robustness upgrade was supported by steroid independence and</w:t>
      </w:r>
      <w:r>
        <w:t xml:space="preserve"> </w:t>
      </w:r>
      <w:r>
        <w:t xml:space="preserve">consistent direction across two sensitivity analyses.</w:t>
      </w:r>
    </w:p>
    <w:bookmarkEnd w:id="25"/>
    <w:bookmarkEnd w:id="26"/>
    <w:bookmarkStart w:id="27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This systematic review and meta-analysis encompassing 251 studies, 525</w:t>
      </w:r>
      <w:r>
        <w:t xml:space="preserve"> </w:t>
      </w:r>
      <w:r>
        <w:t xml:space="preserve">arms, and over 177 000 patients is a comprehensive evaluation of</w:t>
      </w:r>
      <w:r>
        <w:t xml:space="preserve"> </w:t>
      </w:r>
      <w:r>
        <w:t xml:space="preserve">infection risks with PTCy-based GVHD prophylaxis. Its dual-comparator</w:t>
      </w:r>
      <w:r>
        <w:t xml:space="preserve"> </w:t>
      </w:r>
      <w:r>
        <w:t xml:space="preserve">design and simultaneous analysis of survival, GVHD, and infection</w:t>
      </w:r>
      <w:r>
        <w:t xml:space="preserve"> </w:t>
      </w:r>
      <w:r>
        <w:t xml:space="preserve">outcomes within a unified Bayesian framework enables a mechanistic</w:t>
      </w:r>
      <w:r>
        <w:t xml:space="preserve"> </w:t>
      </w:r>
      <w:r>
        <w:t xml:space="preserve">interpretation that has not been possible in prior single-comparison</w:t>
      </w:r>
      <w:r>
        <w:t xml:space="preserve"> </w:t>
      </w:r>
      <w:r>
        <w:t xml:space="preserve">reviews.</w:t>
      </w:r>
    </w:p>
    <w:p>
      <w:pPr>
        <w:pStyle w:val="BodyText"/>
      </w:pPr>
      <w:r>
        <w:t xml:space="preserve">The survival and GVHD findings are unequivocal in direction and</w:t>
      </w:r>
      <w:r>
        <w:t xml:space="preserve"> </w:t>
      </w:r>
      <w:r>
        <w:t xml:space="preserve">consistent across comparators. PTCy reduces acute GVHD grade II–IV by</w:t>
      </w:r>
      <w:r>
        <w:t xml:space="preserve"> </w:t>
      </w:r>
      <w:r>
        <w:t xml:space="preserve">approximately one-third versus CNI plus MTX or MMF (odds ratio 0·67) and</w:t>
      </w:r>
      <w:r>
        <w:t xml:space="preserve"> </w:t>
      </w:r>
      <w:r>
        <w:t xml:space="preserve">by a similar margin versus ATG (0·63), with correspondingly large</w:t>
      </w:r>
      <w:r>
        <w:t xml:space="preserve"> </w:t>
      </w:r>
      <w:r>
        <w:t xml:space="preserve">reductions in chronic GVHD. Overall survival is improved by</w:t>
      </w:r>
      <w:r>
        <w:t xml:space="preserve"> </w:t>
      </w:r>
      <w:r>
        <w:t xml:space="preserve">approximately 16% in both comparisons (C1 0·84; C2 0·83). These findings</w:t>
      </w:r>
      <w:r>
        <w:t xml:space="preserve"> </w:t>
      </w:r>
      <w:r>
        <w:t xml:space="preserve">align with and extend the BMT CTN 1703 RCT, which established the</w:t>
      </w:r>
      <w:r>
        <w:t xml:space="preserve"> </w:t>
      </w:r>
      <w:r>
        <w:t xml:space="preserve">superiority of PTCy in the matched-donor setting.</w:t>
      </w:r>
      <w:hyperlink w:anchor="ref-bolanosmeade2023">
        <w:r>
          <w:rPr>
            <w:rStyle w:val="Hyperlink"/>
            <w:vertAlign w:val="superscript"/>
          </w:rPr>
          <w:t xml:space="preserve">10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present analysis confirms that this advantage generalises across donor</w:t>
      </w:r>
      <w:r>
        <w:t xml:space="preserve"> </w:t>
      </w:r>
      <w:r>
        <w:t xml:space="preserve">types, conditioning regimens, and geographic settings.</w:t>
      </w:r>
    </w:p>
    <w:p>
      <w:pPr>
        <w:pStyle w:val="BodyText"/>
      </w:pPr>
      <w:r>
        <w:t xml:space="preserve">The central conceptual contribution of this analysis is the resolution</w:t>
      </w:r>
      <w:r>
        <w:t xml:space="preserve"> </w:t>
      </w:r>
      <w:r>
        <w:t xml:space="preserve">of apparently contradictory infection findings into a coherent</w:t>
      </w:r>
      <w:r>
        <w:t xml:space="preserve"> </w:t>
      </w:r>
      <w:r>
        <w:t xml:space="preserve">mechanistic framework. PTCy administered on days +3 and +4 after</w:t>
      </w:r>
      <w:r>
        <w:t xml:space="preserve"> </w:t>
      </w:r>
      <w:r>
        <w:t xml:space="preserve">transplant eliminates alloreactive T cells (the intended GVHD-preventive</w:t>
      </w:r>
      <w:r>
        <w:t xml:space="preserve"> </w:t>
      </w:r>
      <w:r>
        <w:t xml:space="preserve">effect), but simultaneously depletes the nascent pathogen-specific</w:t>
      </w:r>
      <w:r>
        <w:t xml:space="preserve"> </w:t>
      </w:r>
      <w:r>
        <w:t xml:space="preserve">T-cell repertoire (an unintended immunological cost). In C1, this T-cell</w:t>
      </w:r>
      <w:r>
        <w:t xml:space="preserve"> </w:t>
      </w:r>
      <w:r>
        <w:t xml:space="preserve">depletion manifests as increased CMV reactivation (odds ratio 1·26) and</w:t>
      </w:r>
      <w:r>
        <w:t xml:space="preserve"> </w:t>
      </w:r>
      <w:r>
        <w:t xml:space="preserve">BSI (1·87). Neither association is attenuated by adjusting for steroid</w:t>
      </w:r>
      <w:r>
        <w:t xml:space="preserve"> </w:t>
      </w:r>
      <w:r>
        <w:t xml:space="preserve">exposure (CMV M2 1·25 [1·01–1·54]), confirming that these infection</w:t>
      </w:r>
      <w:r>
        <w:t xml:space="preserve"> </w:t>
      </w:r>
      <w:r>
        <w:t xml:space="preserve">risks operate through a pathway orthogonal to the GVHD–steroid cascade.</w:t>
      </w:r>
    </w:p>
    <w:p>
      <w:pPr>
        <w:pStyle w:val="BodyText"/>
      </w:pPr>
      <w:r>
        <w:t xml:space="preserve">The survival benefit behaves in the opposite way. Adjusting for steroid</w:t>
      </w:r>
      <w:r>
        <w:t xml:space="preserve"> </w:t>
      </w:r>
      <w:r>
        <w:t xml:space="preserve">exposure removes it entirely (C1 OS M2 1·04 [0·89–1·22]), placing the</w:t>
      </w:r>
      <w:r>
        <w:t xml:space="preserve"> </w:t>
      </w:r>
      <w:r>
        <w:t xml:space="preserve">survival advantage of PTCy on the GVHD–steroid pathway rather than</w:t>
      </w:r>
      <w:r>
        <w:t xml:space="preserve"> </w:t>
      </w:r>
      <w:r>
        <w:t xml:space="preserve">alongside it. Taken together, the two results dissociate benefit from</w:t>
      </w:r>
      <w:r>
        <w:t xml:space="preserve"> </w:t>
      </w:r>
      <w:r>
        <w:t xml:space="preserve">harm: what PTCy gains in survival it gains by suppressing GVHD and the</w:t>
      </w:r>
      <w:r>
        <w:t xml:space="preserve"> </w:t>
      </w:r>
      <w:r>
        <w:t xml:space="preserve">steroid burden that follows, while what it costs in CMV and bacteraemia</w:t>
      </w:r>
      <w:r>
        <w:t xml:space="preserve"> </w:t>
      </w:r>
      <w:r>
        <w:t xml:space="preserve">it costs through T-cell depletion, independently. That the reduction in</w:t>
      </w:r>
      <w:r>
        <w:t xml:space="preserve"> </w:t>
      </w:r>
      <w:r>
        <w:t xml:space="preserve">relapse-related mortality (0·86) is likewise unmoved by steroid</w:t>
      </w:r>
      <w:r>
        <w:t xml:space="preserve"> </w:t>
      </w:r>
      <w:r>
        <w:t xml:space="preserve">adjustment (0·85) suggests a third, separate contribution from the</w:t>
      </w:r>
      <w:r>
        <w:t xml:space="preserve"> </w:t>
      </w:r>
      <w:r>
        <w:t xml:space="preserve">graft-versus-tumour effect. This mediation analysis rests on arm-level</w:t>
      </w:r>
      <w:r>
        <w:t xml:space="preserve"> </w:t>
      </w:r>
      <w:r>
        <w:t xml:space="preserve">steroid exposure, is available for 28 of the 35 studies contributing to</w:t>
      </w:r>
      <w:r>
        <w:t xml:space="preserve"> </w:t>
      </w:r>
      <w:r>
        <w:t xml:space="preserve">the survival model, and should be read as hypothesis-generating.</w:t>
      </w:r>
    </w:p>
    <w:p>
      <w:pPr>
        <w:pStyle w:val="BodyText"/>
      </w:pPr>
      <w:r>
        <w:t xml:space="preserve">The C2 analysis provides a critical test of this framework. If CMV</w:t>
      </w:r>
      <w:r>
        <w:t xml:space="preserve"> </w:t>
      </w:r>
      <w:r>
        <w:t xml:space="preserve">excess were an intrinsic property of cyclophosphamide, it should persist</w:t>
      </w:r>
      <w:r>
        <w:t xml:space="preserve"> </w:t>
      </w:r>
      <w:r>
        <w:t xml:space="preserve">regardless of comparator. Instead, PTCy shows no CMV excess versus ATG</w:t>
      </w:r>
      <w:r>
        <w:t xml:space="preserve"> </w:t>
      </w:r>
      <w:r>
        <w:t xml:space="preserve">(C2 odds ratio 0·97 [0·77–1·23]), consistent with the prediction that</w:t>
      </w:r>
      <w:r>
        <w:t xml:space="preserve"> </w:t>
      </w:r>
      <w:r>
        <w:t xml:space="preserve">infection risk tracks the relative depth of T-cell depletion between</w:t>
      </w:r>
      <w:r>
        <w:t xml:space="preserve"> </w:t>
      </w:r>
      <w:r>
        <w:t xml:space="preserve">arms. PTCy sits between the two comparators in depleting depth:</w:t>
      </w:r>
      <w:r>
        <w:t xml:space="preserve"> </w:t>
      </w:r>
      <w:r>
        <w:t xml:space="preserve">infection risk is increased relative to less T-cell-depleting CNI-based</w:t>
      </w:r>
      <w:r>
        <w:t xml:space="preserve"> </w:t>
      </w:r>
      <w:r>
        <w:t xml:space="preserve">regimens, but not relative to more-depleting ATG. This hierarchy</w:t>
      </w:r>
      <w:r>
        <w:t xml:space="preserve"> </w:t>
      </w:r>
      <w:r>
        <w:t xml:space="preserve">(CNI-based &lt; PTCy &lt; ATG) reframes PTCy-associated infections as a</w:t>
      </w:r>
      <w:r>
        <w:t xml:space="preserve"> </w:t>
      </w:r>
      <w:r>
        <w:t xml:space="preserve">class effect of T-cell-depleting prophylaxis rather than a</w:t>
      </w:r>
      <w:r>
        <w:t xml:space="preserve"> </w:t>
      </w:r>
      <w:r>
        <w:t xml:space="preserve">drug-specific limitation.</w:t>
      </w:r>
    </w:p>
    <w:p>
      <w:pPr>
        <w:pStyle w:val="BodyText"/>
      </w:pPr>
      <w:r>
        <w:t xml:space="preserve">Several limitations warrant discussion. First, the evidence base is</w:t>
      </w:r>
      <w:r>
        <w:t xml:space="preserve"> </w:t>
      </w:r>
      <w:r>
        <w:t xml:space="preserve">predominantly observational, and no outcome exceeded low certainty under</w:t>
      </w:r>
      <w:r>
        <w:t xml:space="preserve"> </w:t>
      </w:r>
      <w:r>
        <w:t xml:space="preserve">GRADE assessment. Selection bias, confounding by donor type, and</w:t>
      </w:r>
      <w:r>
        <w:t xml:space="preserve"> </w:t>
      </w:r>
      <w:r>
        <w:t xml:space="preserve">centre-level practice variation are inherent limitations that cannot be</w:t>
      </w:r>
      <w:r>
        <w:t xml:space="preserve"> </w:t>
      </w:r>
      <w:r>
        <w:t xml:space="preserve">fully addressed by meta-regression. Second, the steroid-mediation</w:t>
      </w:r>
      <w:r>
        <w:t xml:space="preserve"> </w:t>
      </w:r>
      <w:r>
        <w:t xml:space="preserve">analysis uses arm-level rather than individual-patient data, limiting</w:t>
      </w:r>
      <w:r>
        <w:t xml:space="preserve"> </w:t>
      </w:r>
      <w:r>
        <w:t xml:space="preserve">causal inference. Third, infection outcome definitions varied across</w:t>
      </w:r>
      <w:r>
        <w:t xml:space="preserve"> </w:t>
      </w:r>
      <w:r>
        <w:t xml:space="preserve">studies (for example, any CMV reactivation versus clinically significant</w:t>
      </w:r>
      <w:r>
        <w:t xml:space="preserve"> </w:t>
      </w:r>
      <w:r>
        <w:t xml:space="preserve">CMV infection; any positive blood culture versus BSI requiring intensive</w:t>
      </w:r>
      <w:r>
        <w:t xml:space="preserve"> </w:t>
      </w:r>
      <w:r>
        <w:t xml:space="preserve">care), introducing measurement heterogeneity. Fourth, the IFI signal</w:t>
      </w:r>
      <w:r>
        <w:t xml:space="preserve"> </w:t>
      </w:r>
      <w:r>
        <w:t xml:space="preserve">(odds ratio 0·43), while statistically significant, is driven by extreme</w:t>
      </w:r>
      <w:r>
        <w:t xml:space="preserve"> </w:t>
      </w:r>
      <w:r>
        <w:t xml:space="preserve">heterogeneity (τ = 1·53) and probably reflects confounding by antifungal</w:t>
      </w:r>
      <w:r>
        <w:t xml:space="preserve"> </w:t>
      </w:r>
      <w:r>
        <w:t xml:space="preserve">prophylaxis practices rather than a direct effect of PTCy. Fifth, cohort</w:t>
      </w:r>
      <w:r>
        <w:t xml:space="preserve"> </w:t>
      </w:r>
      <w:r>
        <w:t xml:space="preserve">deduplication removes the largest registry publications from several</w:t>
      </w:r>
      <w:r>
        <w:t xml:space="preserve"> </w:t>
      </w:r>
      <w:r>
        <w:t xml:space="preserve">outcomes where a smaller series reports the same patients in more</w:t>
      </w:r>
      <w:r>
        <w:t xml:space="preserve"> </w:t>
      </w:r>
      <w:r>
        <w:t xml:space="preserve">detail, so the pooled totals for survival and chronic GVHD rest on fewer</w:t>
      </w:r>
      <w:r>
        <w:t xml:space="preserve"> </w:t>
      </w:r>
      <w:r>
        <w:t xml:space="preserve">patients than the size of the review would suggest.</w:t>
      </w:r>
    </w:p>
    <w:p>
      <w:pPr>
        <w:pStyle w:val="BodyText"/>
      </w:pPr>
      <w:r>
        <w:t xml:space="preserve">The within-PTCy comparison (C3) found no detectable differences between</w:t>
      </w:r>
      <w:r>
        <w:t xml:space="preserve"> </w:t>
      </w:r>
      <w:r>
        <w:t xml:space="preserve">regimen variants for any outcome, supporting clinical flexibility in</w:t>
      </w:r>
      <w:r>
        <w:t xml:space="preserve"> </w:t>
      </w:r>
      <w:r>
        <w:t xml:space="preserve">PTCy dosing and backbone immunosuppression selection. However,</w:t>
      </w:r>
      <w:r>
        <w:t xml:space="preserve"> </w:t>
      </w:r>
      <w:r>
        <w:t xml:space="preserve">statistical power was limited (k = 4–7) and equivalence cannot be</w:t>
      </w:r>
      <w:r>
        <w:t xml:space="preserve"> </w:t>
      </w:r>
      <w:r>
        <w:t xml:space="preserve">concluded.</w:t>
      </w:r>
    </w:p>
    <w:p>
      <w:pPr>
        <w:pStyle w:val="BodyText"/>
      </w:pPr>
      <w:r>
        <w:t xml:space="preserve">These findings have direct clinical implications. For centres already</w:t>
      </w:r>
      <w:r>
        <w:t xml:space="preserve"> </w:t>
      </w:r>
      <w:r>
        <w:t xml:space="preserve">using PTCy, the infection costs are quantitatively modest (CMV odds</w:t>
      </w:r>
      <w:r>
        <w:t xml:space="preserve"> </w:t>
      </w:r>
      <w:r>
        <w:t xml:space="preserve">ratio 1·26) and are shared with ATG-based regimens, which carry at least</w:t>
      </w:r>
      <w:r>
        <w:t xml:space="preserve"> </w:t>
      </w:r>
      <w:r>
        <w:t xml:space="preserve">comparable T-cell depletion liability. Clinical strategies to mitigate</w:t>
      </w:r>
      <w:r>
        <w:t xml:space="preserve"> </w:t>
      </w:r>
      <w:r>
        <w:t xml:space="preserve">these costs should target T-cell reconstitution (adoptive T-cell</w:t>
      </w:r>
      <w:r>
        <w:t xml:space="preserve"> </w:t>
      </w:r>
      <w:r>
        <w:t xml:space="preserve">therapies, letermovir prophylaxis, earlier immunosuppression tapering)</w:t>
      </w:r>
      <w:r>
        <w:t xml:space="preserve"> </w:t>
      </w:r>
      <w:r>
        <w:t xml:space="preserve">rather than PTCy avoidance. The strengthening of the CMV signal in</w:t>
      </w:r>
      <w:r>
        <w:t xml:space="preserve"> </w:t>
      </w:r>
      <w:r>
        <w:t xml:space="preserve">post-2020 studies (odds ratio 1·53), despite widespread letermovir</w:t>
      </w:r>
      <w:r>
        <w:t xml:space="preserve"> </w:t>
      </w:r>
      <w:r>
        <w:t xml:space="preserve">adoption, suggests that pharmacological CMV prophylaxis alone does not</w:t>
      </w:r>
      <w:r>
        <w:t xml:space="preserve"> </w:t>
      </w:r>
      <w:r>
        <w:t xml:space="preserve">fully offset the reconstitution delay. For NRM, optimising GVHD control</w:t>
      </w:r>
      <w:r>
        <w:t xml:space="preserve"> </w:t>
      </w:r>
      <w:r>
        <w:t xml:space="preserve">remains a key strategy, as approaches towards reducing GVHD severity and</w:t>
      </w:r>
      <w:r>
        <w:t xml:space="preserve"> </w:t>
      </w:r>
      <w:r>
        <w:t xml:space="preserve">attendant steroid exposure should translate into NRM benefit.</w:t>
      </w:r>
    </w:p>
    <w:p>
      <w:pPr>
        <w:pStyle w:val="BodyText"/>
      </w:pPr>
      <w:r>
        <w:t xml:space="preserve">In conclusion, PTCy improves overall survival and reduces GVHD across</w:t>
      </w:r>
      <w:r>
        <w:t xml:space="preserve"> </w:t>
      </w:r>
      <w:r>
        <w:t xml:space="preserve">comparator regimens. Its infection costs are attributable to the depth</w:t>
      </w:r>
      <w:r>
        <w:t xml:space="preserve"> </w:t>
      </w:r>
      <w:r>
        <w:t xml:space="preserve">of T-cell depletion — a mechanistic property shared with ATG — and are</w:t>
      </w:r>
      <w:r>
        <w:t xml:space="preserve"> </w:t>
      </w:r>
      <w:r>
        <w:t xml:space="preserve">best addressed through strategies targeting immune reconstitution. The</w:t>
      </w:r>
      <w:r>
        <w:t xml:space="preserve"> </w:t>
      </w:r>
      <w:r>
        <w:t xml:space="preserve">present analysis provides a unified framework for interpreting the</w:t>
      </w:r>
      <w:r>
        <w:t xml:space="preserve"> </w:t>
      </w:r>
      <w:r>
        <w:t xml:space="preserve">benefit–harm balance of PTCy and should inform guideline development,</w:t>
      </w:r>
      <w:r>
        <w:t xml:space="preserve"> </w:t>
      </w:r>
      <w:r>
        <w:t xml:space="preserve">clinical counselling, and the design of future trials.</w:t>
      </w:r>
    </w:p>
    <w:bookmarkEnd w:id="27"/>
    <w:bookmarkStart w:id="28" w:name="contributors"/>
    <w:p>
      <w:pPr>
        <w:pStyle w:val="Heading2"/>
      </w:pPr>
      <w:r>
        <w:t xml:space="preserve">Contributors</w:t>
      </w:r>
    </w:p>
    <w:p>
      <w:pPr>
        <w:pStyle w:val="FirstParagraph"/>
      </w:pPr>
      <w:r>
        <w:t xml:space="preserve">REL, MS, and DPK developed the study protocol. REL and MS performed the</w:t>
      </w:r>
      <w:r>
        <w:t xml:space="preserve"> </w:t>
      </w:r>
      <w:r>
        <w:t xml:space="preserve">searches, data extraction, risk of bias assessment, and statistical</w:t>
      </w:r>
      <w:r>
        <w:t xml:space="preserve"> </w:t>
      </w:r>
      <w:r>
        <w:t xml:space="preserve">analysis, and wrote the first draft of the report. MS verified the</w:t>
      </w:r>
      <w:r>
        <w:t xml:space="preserve"> </w:t>
      </w:r>
      <w:r>
        <w:t xml:space="preserve">extracted data. DPK revised the manuscript. All authors had full access</w:t>
      </w:r>
      <w:r>
        <w:t xml:space="preserve"> </w:t>
      </w:r>
      <w:r>
        <w:t xml:space="preserve">to all the data in the study and had final responsibility for the</w:t>
      </w:r>
      <w:r>
        <w:t xml:space="preserve"> </w:t>
      </w:r>
      <w:r>
        <w:t xml:space="preserve">decision to submit for publication. REL and MS directly accessed and</w:t>
      </w:r>
      <w:r>
        <w:t xml:space="preserve"> </w:t>
      </w:r>
      <w:r>
        <w:t xml:space="preserve">verified the underlying data reported in the manuscript.</w:t>
      </w:r>
    </w:p>
    <w:bookmarkEnd w:id="28"/>
    <w:bookmarkStart w:id="29" w:name="declaration-of-interests"/>
    <w:p>
      <w:pPr>
        <w:pStyle w:val="Heading2"/>
      </w:pPr>
      <w:r>
        <w:t xml:space="preserve">Declaration of interests</w:t>
      </w:r>
    </w:p>
    <w:bookmarkEnd w:id="29"/>
    <w:bookmarkStart w:id="33" w:name="data-sharing"/>
    <w:p>
      <w:pPr>
        <w:pStyle w:val="Heading2"/>
      </w:pPr>
      <w:r>
        <w:t xml:space="preserve">Data sharing</w:t>
      </w:r>
    </w:p>
    <w:p>
      <w:pPr>
        <w:pStyle w:val="FirstParagraph"/>
      </w:pPr>
      <w:r>
        <w:t xml:space="preserve">Individual study-level data extracted for this systematic review,</w:t>
      </w:r>
      <w:r>
        <w:t xml:space="preserve"> </w:t>
      </w:r>
      <w:r>
        <w:t xml:space="preserve">including the complete extraction database and analytic datasets, are</w:t>
      </w:r>
      <w:r>
        <w:t xml:space="preserve"> </w:t>
      </w:r>
      <w:r>
        <w:t xml:space="preserve">available on a public GitHub repository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https://github.com/Russlewisbo/ptcy_metaanalys</w:t>
        </w:r>
      </w:hyperlink>
      <w:r>
        <w:t xml:space="preserve">). The manuscript</w:t>
      </w:r>
      <w:r>
        <w:t xml:space="preserve"> </w:t>
      </w:r>
      <w:r>
        <w:t xml:space="preserve">source, including the notebooks that generate every table and figure,</w:t>
      </w:r>
      <w:r>
        <w:t xml:space="preserve"> </w:t>
      </w:r>
      <w:r>
        <w:t xml:space="preserve">is available at</w:t>
      </w:r>
      <w:r>
        <w:t xml:space="preserve"> </w:t>
      </w:r>
      <w:hyperlink r:id="rId31">
        <w:r>
          <w:rPr>
            <w:rStyle w:val="Hyperlink"/>
          </w:rPr>
          <w:t xml:space="preserve">https://github.com/lewis-id-lab/ptcy-infection</w:t>
        </w:r>
      </w:hyperlink>
      <w:r>
        <w:t xml:space="preserve">, with a</w:t>
      </w:r>
      <w:r>
        <w:t xml:space="preserve"> </w:t>
      </w:r>
      <w:r>
        <w:t xml:space="preserve">rendered version for review at</w:t>
      </w:r>
      <w:r>
        <w:t xml:space="preserve"> </w:t>
      </w:r>
      <w:hyperlink r:id="rId32">
        <w:r>
          <w:rPr>
            <w:rStyle w:val="Hyperlink"/>
          </w:rPr>
          <w:t xml:space="preserve">https://lewis-id-lab.github.io/ptcy-infection/</w:t>
        </w:r>
      </w:hyperlink>
      <w:r>
        <w:t xml:space="preserve">. The study protocol</w:t>
      </w:r>
      <w:r>
        <w:t xml:space="preserve"> </w:t>
      </w:r>
      <w:r>
        <w:t xml:space="preserve">is registered with PROSPERO (CRD420261372156).</w:t>
      </w:r>
    </w:p>
    <w:bookmarkEnd w:id="33"/>
    <w:bookmarkStart w:id="34" w:name="use-of-artificial-intelligence"/>
    <w:p>
      <w:pPr>
        <w:pStyle w:val="Heading2"/>
      </w:pPr>
      <w:r>
        <w:t xml:space="preserve">Use of artificial intelligence</w:t>
      </w:r>
    </w:p>
    <w:p>
      <w:pPr>
        <w:pStyle w:val="FirstParagraph"/>
      </w:pPr>
      <w:r>
        <w:t xml:space="preserve">AI-assisted extraction was performed to accelerate data extraction from</w:t>
      </w:r>
      <w:r>
        <w:t xml:space="preserve"> </w:t>
      </w:r>
      <w:r>
        <w:t xml:space="preserve">PDF source documents; all AI-extracted values were manually verified</w:t>
      </w:r>
      <w:r>
        <w:t xml:space="preserve"> </w:t>
      </w:r>
      <w:r>
        <w:t xml:space="preserve">against source publications.</w:t>
      </w:r>
    </w:p>
    <w:bookmarkEnd w:id="34"/>
    <w:bookmarkStart w:id="60" w:name="references"/>
    <w:p>
      <w:pPr>
        <w:pStyle w:val="Heading2"/>
      </w:pPr>
      <w:r>
        <w:t xml:space="preserve">References</w:t>
      </w:r>
    </w:p>
    <w:bookmarkStart w:id="59" w:name="refs"/>
    <w:bookmarkStart w:id="36" w:name="ref-gagelmann2019"/>
    <w:p>
      <w:pPr>
        <w:pStyle w:val="Bibliography"/>
      </w:pPr>
      <w:r>
        <w:t xml:space="preserve">1</w:t>
      </w:r>
      <w:r>
        <w:t xml:space="preserve"> </w:t>
      </w:r>
      <w:r>
        <w:t xml:space="preserve">	</w:t>
      </w:r>
      <w:r>
        <w:t xml:space="preserve">Gagelmann N, Bacigalupo A, Rambaldi A,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35">
        <w:r>
          <w:rPr>
            <w:rStyle w:val="Hyperlink"/>
          </w:rPr>
          <w:t xml:space="preserve">Haploidentical stem cell transplantation with posttransplant cyclophosphamide therapy vs other donor transplantations in adults with hematologic cancers: A systematic review and meta-analysis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JAMA Oncology</w:t>
      </w:r>
      <w:r>
        <w:t xml:space="preserve"> </w:t>
      </w:r>
      <w:r>
        <w:t xml:space="preserve">2019;</w:t>
      </w:r>
      <w:r>
        <w:t xml:space="preserve"> </w:t>
      </w:r>
      <w:r>
        <w:rPr>
          <w:b/>
          <w:bCs/>
        </w:rPr>
        <w:t xml:space="preserve">5</w:t>
      </w:r>
      <w:r>
        <w:t xml:space="preserve">: 1739–48.</w:t>
      </w:r>
    </w:p>
    <w:bookmarkEnd w:id="36"/>
    <w:bookmarkStart w:id="38" w:name="ref-jin2026"/>
    <w:p>
      <w:pPr>
        <w:pStyle w:val="Bibliography"/>
      </w:pPr>
      <w:r>
        <w:t xml:space="preserve">2</w:t>
      </w:r>
      <w:r>
        <w:t xml:space="preserve"> </w:t>
      </w:r>
      <w:r>
        <w:t xml:space="preserve">	</w:t>
      </w:r>
      <w:r>
        <w:t xml:space="preserve">Jin X, Dong T, Ji J,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37">
        <w:r>
          <w:rPr>
            <w:rStyle w:val="Hyperlink"/>
          </w:rPr>
          <w:t xml:space="preserve">Comparison of the efficacy of pre-transplant and post-transplant antithymocyte globulin combined with post-transplant cyclophosphamide for graft-versus-host disease prophylaxis in myeloablative haploidentical peripheral blood stem cell transplantation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Cell Transplantation</w:t>
      </w:r>
      <w:r>
        <w:t xml:space="preserve"> </w:t>
      </w:r>
      <w:r>
        <w:t xml:space="preserve">2026;</w:t>
      </w:r>
      <w:r>
        <w:t xml:space="preserve"> </w:t>
      </w:r>
      <w:r>
        <w:rPr>
          <w:b/>
          <w:bCs/>
        </w:rPr>
        <w:t xml:space="preserve">35</w:t>
      </w:r>
      <w:r>
        <w:t xml:space="preserve">: 09636897261454024.</w:t>
      </w:r>
    </w:p>
    <w:bookmarkEnd w:id="38"/>
    <w:bookmarkStart w:id="40" w:name="ref-arcuri2019"/>
    <w:p>
      <w:pPr>
        <w:pStyle w:val="Bibliography"/>
      </w:pPr>
      <w:r>
        <w:t xml:space="preserve">3</w:t>
      </w:r>
      <w:r>
        <w:t xml:space="preserve"> </w:t>
      </w:r>
      <w:r>
        <w:t xml:space="preserve">	</w:t>
      </w:r>
      <w:r>
        <w:t xml:space="preserve">Arcuri LJ, Aguiar MTM, Ribeiro AAF, Pacheco AGF.</w:t>
      </w:r>
      <w:r>
        <w:t xml:space="preserve"> </w:t>
      </w:r>
      <w:hyperlink r:id="rId39">
        <w:r>
          <w:rPr>
            <w:rStyle w:val="Hyperlink"/>
          </w:rPr>
          <w:t xml:space="preserve">Haploidentical transplantation with post-transplant cyclophosphamide versus unrelated donor hematopoietic stem cell transplantation: A systematic review and meta-analysis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Biology of Blood and Marrow Transplantation</w:t>
      </w:r>
      <w:r>
        <w:t xml:space="preserve"> </w:t>
      </w:r>
      <w:r>
        <w:t xml:space="preserve">2019;</w:t>
      </w:r>
      <w:r>
        <w:t xml:space="preserve"> </w:t>
      </w:r>
      <w:r>
        <w:rPr>
          <w:b/>
          <w:bCs/>
        </w:rPr>
        <w:t xml:space="preserve">25</w:t>
      </w:r>
      <w:r>
        <w:t xml:space="preserve">: 2422–30.</w:t>
      </w:r>
    </w:p>
    <w:bookmarkEnd w:id="40"/>
    <w:bookmarkStart w:id="42" w:name="ref-arcuri2021"/>
    <w:p>
      <w:pPr>
        <w:pStyle w:val="Bibliography"/>
      </w:pPr>
      <w:r>
        <w:t xml:space="preserve">4</w:t>
      </w:r>
      <w:r>
        <w:t xml:space="preserve"> </w:t>
      </w:r>
      <w:r>
        <w:t xml:space="preserve">	</w:t>
      </w:r>
      <w:r>
        <w:t xml:space="preserve">Arcuri LJ, Hamerschlak N, Rocha V, Bonfim C, Kerbauy MN.</w:t>
      </w:r>
      <w:r>
        <w:t xml:space="preserve"> </w:t>
      </w:r>
      <w:hyperlink r:id="rId41">
        <w:r>
          <w:rPr>
            <w:rStyle w:val="Hyperlink"/>
          </w:rPr>
          <w:t xml:space="preserve">Outcomes after haploidentical hematopoietic cell transplantation with post-transplantation cyclophosphamide: A systematic review and meta-analysis comparing myeloablative with reduced-intensity conditioning regimens and bone marrow with peripheral blood stem cell grafts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Transplantation and Cellular Therapy</w:t>
      </w:r>
      <w:r>
        <w:t xml:space="preserve"> </w:t>
      </w:r>
      <w:r>
        <w:t xml:space="preserve">2021;</w:t>
      </w:r>
      <w:r>
        <w:t xml:space="preserve"> </w:t>
      </w:r>
      <w:r>
        <w:rPr>
          <w:b/>
          <w:bCs/>
        </w:rPr>
        <w:t xml:space="preserve">27</w:t>
      </w:r>
      <w:r>
        <w:t xml:space="preserve">: 782.e1–7.</w:t>
      </w:r>
    </w:p>
    <w:bookmarkEnd w:id="42"/>
    <w:bookmarkStart w:id="44" w:name="ref-tang2023"/>
    <w:p>
      <w:pPr>
        <w:pStyle w:val="Bibliography"/>
      </w:pPr>
      <w:r>
        <w:t xml:space="preserve">5</w:t>
      </w:r>
      <w:r>
        <w:t xml:space="preserve"> </w:t>
      </w:r>
      <w:r>
        <w:t xml:space="preserve">	</w:t>
      </w:r>
      <w:r>
        <w:t xml:space="preserve">Tang L, Liu Z, Li T,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43">
        <w:r>
          <w:rPr>
            <w:rStyle w:val="Hyperlink"/>
          </w:rPr>
          <w:t xml:space="preserve">Post-transplant cyclophosphamide versus anti-thymocyte globulin in allogeneic hematopoietic stem cell transplantation from unrelated donors: A systematic review and meta-analysis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Oncology</w:t>
      </w:r>
      <w:r>
        <w:t xml:space="preserve"> </w:t>
      </w:r>
      <w:r>
        <w:t xml:space="preserve">2023;</w:t>
      </w:r>
      <w:r>
        <w:t xml:space="preserve"> </w:t>
      </w:r>
      <w:r>
        <w:rPr>
          <w:b/>
          <w:bCs/>
        </w:rPr>
        <w:t xml:space="preserve">13</w:t>
      </w:r>
      <w:r>
        <w:t xml:space="preserve">: 1071268.</w:t>
      </w:r>
    </w:p>
    <w:bookmarkEnd w:id="44"/>
    <w:bookmarkStart w:id="46" w:name="ref-luo2025"/>
    <w:p>
      <w:pPr>
        <w:pStyle w:val="Bibliography"/>
      </w:pPr>
      <w:r>
        <w:t xml:space="preserve">6</w:t>
      </w:r>
      <w:r>
        <w:t xml:space="preserve"> </w:t>
      </w:r>
      <w:r>
        <w:t xml:space="preserve">	</w:t>
      </w:r>
      <w:r>
        <w:t xml:space="preserve">Luo C, Huang X, Wu G,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45">
        <w:r>
          <w:rPr>
            <w:rStyle w:val="Hyperlink"/>
          </w:rPr>
          <w:t xml:space="preserve">Combination of anti-thymocyte globulin with post-transplant cyclophosphamide for GVHD prophylaxis in patients undergoing haploidentical hematopoietic stem cell transplantation: Systematic review and meta-analysis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Transplantation and Cellular Therapy</w:t>
      </w:r>
      <w:r>
        <w:t xml:space="preserve"> </w:t>
      </w:r>
      <w:r>
        <w:t xml:space="preserve">2025;</w:t>
      </w:r>
      <w:r>
        <w:t xml:space="preserve"> </w:t>
      </w:r>
      <w:r>
        <w:rPr>
          <w:b/>
          <w:bCs/>
        </w:rPr>
        <w:t xml:space="preserve">31</w:t>
      </w:r>
      <w:r>
        <w:t xml:space="preserve">: 32.e1–15.</w:t>
      </w:r>
    </w:p>
    <w:bookmarkEnd w:id="46"/>
    <w:bookmarkStart w:id="48" w:name="ref-odonnell2002"/>
    <w:p>
      <w:pPr>
        <w:pStyle w:val="Bibliography"/>
      </w:pPr>
      <w:r>
        <w:t xml:space="preserve">7</w:t>
      </w:r>
      <w:r>
        <w:t xml:space="preserve"> </w:t>
      </w:r>
      <w:r>
        <w:t xml:space="preserve">	</w:t>
      </w:r>
      <w:r>
        <w:t xml:space="preserve">O’Donnell PV, Luznik L, Jones RJ,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47">
        <w:r>
          <w:rPr>
            <w:rStyle w:val="Hyperlink"/>
          </w:rPr>
          <w:t xml:space="preserve">Nonmyeloablative bone marrow transplantation from partially HLA-mismatched related donors using posttransplantation cyclophosphamide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Biology of Blood and Marrow Transplantation: Journal of the American Society for Blood and Marrow Transplantation</w:t>
      </w:r>
      <w:r>
        <w:t xml:space="preserve"> </w:t>
      </w:r>
      <w:r>
        <w:t xml:space="preserve">2002;</w:t>
      </w:r>
      <w:r>
        <w:t xml:space="preserve"> </w:t>
      </w:r>
      <w:r>
        <w:rPr>
          <w:b/>
          <w:bCs/>
        </w:rPr>
        <w:t xml:space="preserve">8</w:t>
      </w:r>
      <w:r>
        <w:t xml:space="preserve">: 377–86.</w:t>
      </w:r>
    </w:p>
    <w:bookmarkEnd w:id="48"/>
    <w:bookmarkStart w:id="50" w:name="ref-luznik2008"/>
    <w:p>
      <w:pPr>
        <w:pStyle w:val="Bibliography"/>
      </w:pPr>
      <w:r>
        <w:t xml:space="preserve">8</w:t>
      </w:r>
      <w:r>
        <w:t xml:space="preserve"> </w:t>
      </w:r>
      <w:r>
        <w:t xml:space="preserve">	</w:t>
      </w:r>
      <w:r>
        <w:t xml:space="preserve">Luznik L, O’Donnell PV, Symons HJ,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49">
        <w:r>
          <w:rPr>
            <w:rStyle w:val="Hyperlink"/>
          </w:rPr>
          <w:t xml:space="preserve">HLA-haploidentical bone marrow transplantation for hematologic malignancies using nonmyeloablative conditioning and high-dose, posttransplantation cyclophosphamide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Biology of Blood and Marrow Transplantation: Journal of the American Society for Blood and Marrow Transplantation</w:t>
      </w:r>
      <w:r>
        <w:t xml:space="preserve"> </w:t>
      </w:r>
      <w:r>
        <w:t xml:space="preserve">2008;</w:t>
      </w:r>
      <w:r>
        <w:t xml:space="preserve"> </w:t>
      </w:r>
      <w:r>
        <w:rPr>
          <w:b/>
          <w:bCs/>
        </w:rPr>
        <w:t xml:space="preserve">14</w:t>
      </w:r>
      <w:r>
        <w:t xml:space="preserve">: 641–50.</w:t>
      </w:r>
    </w:p>
    <w:bookmarkEnd w:id="50"/>
    <w:bookmarkStart w:id="52" w:name="ref-kanakry2016"/>
    <w:p>
      <w:pPr>
        <w:pStyle w:val="Bibliography"/>
      </w:pPr>
      <w:r>
        <w:t xml:space="preserve">9</w:t>
      </w:r>
      <w:r>
        <w:t xml:space="preserve"> </w:t>
      </w:r>
      <w:r>
        <w:t xml:space="preserve">	</w:t>
      </w:r>
      <w:r>
        <w:t xml:space="preserve">Kanakry CG, Fuchs EJ, Luznik L.</w:t>
      </w:r>
      <w:r>
        <w:t xml:space="preserve"> </w:t>
      </w:r>
      <w:hyperlink r:id="rId51">
        <w:r>
          <w:rPr>
            <w:rStyle w:val="Hyperlink"/>
          </w:rPr>
          <w:t xml:space="preserve">Modern approaches to HLA-haploidentical blood or marrow transplantation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 Reviews Clinical Oncology</w:t>
      </w:r>
      <w:r>
        <w:t xml:space="preserve"> </w:t>
      </w:r>
      <w:r>
        <w:t xml:space="preserve">2016;</w:t>
      </w:r>
      <w:r>
        <w:t xml:space="preserve"> </w:t>
      </w:r>
      <w:r>
        <w:rPr>
          <w:b/>
          <w:bCs/>
        </w:rPr>
        <w:t xml:space="preserve">13</w:t>
      </w:r>
      <w:r>
        <w:t xml:space="preserve">: 10–24.</w:t>
      </w:r>
    </w:p>
    <w:bookmarkEnd w:id="52"/>
    <w:bookmarkStart w:id="54" w:name="ref-bolanosmeade2023"/>
    <w:p>
      <w:pPr>
        <w:pStyle w:val="Bibliography"/>
      </w:pPr>
      <w:r>
        <w:t xml:space="preserve">10</w:t>
      </w:r>
      <w:r>
        <w:t xml:space="preserve"> </w:t>
      </w:r>
      <w:r>
        <w:t xml:space="preserve">	</w:t>
      </w:r>
      <w:r>
        <w:t xml:space="preserve">Bolaños-Meade J, Hamadani M, Wu J,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53">
        <w:r>
          <w:rPr>
            <w:rStyle w:val="Hyperlink"/>
          </w:rPr>
          <w:t xml:space="preserve">Post-transplantation cyclophosphamide-based graft-versus-host disease prophylaxis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New England Journal of Medicine</w:t>
      </w:r>
      <w:r>
        <w:t xml:space="preserve"> </w:t>
      </w:r>
      <w:r>
        <w:t xml:space="preserve">2023;</w:t>
      </w:r>
      <w:r>
        <w:t xml:space="preserve"> </w:t>
      </w:r>
      <w:r>
        <w:rPr>
          <w:b/>
          <w:bCs/>
        </w:rPr>
        <w:t xml:space="preserve">388</w:t>
      </w:r>
      <w:r>
        <w:t xml:space="preserve">: 2338–48.</w:t>
      </w:r>
    </w:p>
    <w:bookmarkEnd w:id="54"/>
    <w:bookmarkStart w:id="56" w:name="ref-goldsmith2021"/>
    <w:p>
      <w:pPr>
        <w:pStyle w:val="Bibliography"/>
      </w:pPr>
      <w:r>
        <w:t xml:space="preserve">11</w:t>
      </w:r>
      <w:r>
        <w:t xml:space="preserve"> </w:t>
      </w:r>
      <w:r>
        <w:t xml:space="preserve">	</w:t>
      </w:r>
      <w:r>
        <w:t xml:space="preserve">Goldsmith SR, Abid MB, Auletta JJ,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55">
        <w:r>
          <w:rPr>
            <w:rStyle w:val="Hyperlink"/>
          </w:rPr>
          <w:t xml:space="preserve">Posttransplant cyclophosphamide is associated with increased cytomegalovirus infection: A CIBMTR analysis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Blood</w:t>
      </w:r>
      <w:r>
        <w:t xml:space="preserve"> </w:t>
      </w:r>
      <w:r>
        <w:t xml:space="preserve">2021;</w:t>
      </w:r>
      <w:r>
        <w:t xml:space="preserve"> </w:t>
      </w:r>
      <w:r>
        <w:rPr>
          <w:b/>
          <w:bCs/>
        </w:rPr>
        <w:t xml:space="preserve">137</w:t>
      </w:r>
      <w:r>
        <w:t xml:space="preserve">: 3291–305.</w:t>
      </w:r>
    </w:p>
    <w:bookmarkEnd w:id="56"/>
    <w:bookmarkStart w:id="58" w:name="ref-papanicolaou2024"/>
    <w:p>
      <w:pPr>
        <w:pStyle w:val="Bibliography"/>
      </w:pPr>
      <w:r>
        <w:t xml:space="preserve">12</w:t>
      </w:r>
      <w:r>
        <w:t xml:space="preserve"> </w:t>
      </w:r>
      <w:r>
        <w:t xml:space="preserve">	</w:t>
      </w:r>
      <w:r>
        <w:t xml:space="preserve">Papanicolaou GA, Chen M, He N,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57">
        <w:r>
          <w:rPr>
            <w:rStyle w:val="Hyperlink"/>
          </w:rPr>
          <w:t xml:space="preserve">Incidence and impact of fungal infections in post-transplantation cyclophosphamide-based graft-versus-host disease prophylaxis and haploidentical hematopoietic cell transplantation: A center for international blood and marrow transplant research analysis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Transplantation and Cellular Therapy</w:t>
      </w:r>
      <w:r>
        <w:t xml:space="preserve"> </w:t>
      </w:r>
      <w:r>
        <w:t xml:space="preserve">2024;</w:t>
      </w:r>
      <w:r>
        <w:t xml:space="preserve"> </w:t>
      </w:r>
      <w:r>
        <w:rPr>
          <w:b/>
          <w:bCs/>
        </w:rPr>
        <w:t xml:space="preserve">30</w:t>
      </w:r>
      <w:r>
        <w:t xml:space="preserve">: 114.e1–16.</w:t>
      </w:r>
    </w:p>
    <w:bookmarkEnd w:id="58"/>
    <w:bookmarkEnd w:id="59"/>
    <w:p>
      <w:r>
        <w:br w:type="page"/>
      </w:r>
    </w:p>
    <w:bookmarkEnd w:id="60"/>
    <w:bookmarkStart w:id="63" w:name="tables"/>
    <w:p>
      <w:pPr>
        <w:pStyle w:val="Heading2"/>
      </w:pPr>
      <w:r>
        <w:t xml:space="preserve">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tbl-characteristic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Characteristics of included studies. Data are n (%) or median (IQR)</w:t>
            </w:r>
            <w:r>
              <w:t xml:space="preserve"> </w:t>
            </w:r>
            <w:r>
              <w:t xml:space="preserve">unless otherwise stated. *Median of arm-level values; IQR reflects</w:t>
            </w:r>
            <w:r>
              <w:t xml:space="preserve"> </w:t>
            </w:r>
            <w:r>
              <w:t xml:space="preserve">between-arm variability. MUD = matched unrelated donor. MMUD =</w:t>
            </w:r>
            <w:r>
              <w:t xml:space="preserve"> </w:t>
            </w:r>
            <w:r>
              <w:t xml:space="preserve">mismatched unrelated donor. MSD = matched sibling donor. PBSC =</w:t>
            </w:r>
            <w:r>
              <w:t xml:space="preserve"> </w:t>
            </w:r>
            <w:r>
              <w:t xml:space="preserve">peripheral blood stem cells. BM = bone marrow. UCB = umbilical cord</w:t>
            </w:r>
            <w:r>
              <w:t xml:space="preserve"> </w:t>
            </w:r>
            <w:r>
              <w:t xml:space="preserve">blood. MAC = myeloablative conditioning. RIC = reduced-intensity</w:t>
            </w:r>
            <w:r>
              <w:t xml:space="preserve"> </w:t>
            </w:r>
            <w:r>
              <w:t xml:space="preserve">conditioning. NMA = non-myeloablative. NR = not reported.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Characteristic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PTCy arms (n=272)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Comparator arms (n=248)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Studies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Comparative (≥2 arms)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Single-arm descriptive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Arms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patients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177 758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 (6%)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Study design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Retrospective cohort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132 (59%)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Registry analysis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62 (28%)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Prospective cohort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 (8%)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Publication year, median (IQR)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2023 (2021–24)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Follow-up, months, median (IQR)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 (20–36)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ROBINS-I overall judgement (n=227)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150 (66%)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Serious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71 (31%)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(3%)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Arm-level characteristics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Patients per arm, median (IQR)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99 (46–212)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120 (51–375)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Age, years, median (IQR)*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52·0 (44·9–58·0)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53·0 (43·0–57·9)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Male, %*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57·1 (54·0–61·5)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57·4 (53·0–61·8)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Donor type (predominant)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Haploidentical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127 (47%)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 (15%)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MUD (10/10)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64 (24%)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94 (38%)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MMUD (9/10 or lower)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 (11%)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 (11%)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 (11%)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54 (22%)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Mixed / other / NR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 (8%)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 (15%)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Graft source (predominant)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PBSC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204 (75%)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181 (73%)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 (11%)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 (4%)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UCB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 (7%)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Mixed / NR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 (14%)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38 (15%)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Conditioning (predominant)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110 (40%)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85 (34%)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106 (39%)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119 (48%)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(3%)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(1%)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Mixed / NR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49 (18%)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41 (17%)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CMV R+, %*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74·8 (65·8–80·1)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69·4 (59·5–81·3)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Steroid exposure, %*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26·6 (20·0–32·7)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34·5 (28·5–43·5)</w:t>
                  </w:r>
                </w:p>
              </w:tc>
            </w:tr>
          </w:tbl>
          <w:bookmarkEnd w:id="61"/>
          <w:p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tbl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Bayesian meta-analysis results: outcomes by comparison. Estimates are</w:t>
            </w:r>
            <w:r>
              <w:t xml:space="preserve"> </w:t>
            </w:r>
            <w:r>
              <w:t xml:space="preserve">from the cohort-deduplicated dataset, in which one publication per</w:t>
            </w:r>
            <w:r>
              <w:t xml:space="preserve"> </w:t>
            </w:r>
            <w:r>
              <w:t xml:space="preserve">cohort contributes to each outcome. M1 = primary model adjusted for</w:t>
            </w:r>
            <w:r>
              <w:t xml:space="preserve"> </w:t>
            </w:r>
            <w:r>
              <w:t xml:space="preserve">timepoint. M2 = steroid-mediation model, fitted on the subset of studies</w:t>
            </w:r>
            <w:r>
              <w:t xml:space="preserve"> </w:t>
            </w:r>
            <w:r>
              <w:t xml:space="preserve">reporting arm-level steroid exposure. k = number of paired studies. N =</w:t>
            </w:r>
            <w:r>
              <w:t xml:space="preserve"> </w:t>
            </w:r>
            <w:r>
              <w:t xml:space="preserve">total patients across all arms. τ = between-study standard deviation</w:t>
            </w:r>
            <w:r>
              <w:t xml:space="preserve"> </w:t>
            </w:r>
            <w:r>
              <w:t xml:space="preserve">(posterior median). CrI = credible interval. GRADE ratings are shown for</w:t>
            </w:r>
            <w:r>
              <w:t xml:space="preserve"> </w:t>
            </w:r>
            <w:r>
              <w:t xml:space="preserve">pre-specified primary and secondary outcomes only. OR &lt; 1 favours PTCy</w:t>
            </w:r>
            <w:r>
              <w:t xml:space="preserve"> </w:t>
            </w:r>
            <w:r>
              <w:t xml:space="preserve">for survival and GVHD outcomes; OR &gt; 1 indicates elevated risk with</w:t>
            </w:r>
            <w:r>
              <w:t xml:space="preserve"> </w:t>
            </w:r>
            <w:r>
              <w:t xml:space="preserve">PTCy for infection outcomes. *The C2 BK virus model (k = 3) did not</w:t>
            </w:r>
            <w:r>
              <w:t xml:space="preserve"> </w:t>
            </w:r>
            <w:r>
              <w:t xml:space="preserve">meet the convergence criteria applied to the other models (appendix p</w:t>
            </w:r>
            <w:r>
              <w:t xml:space="preserve"> </w:t>
            </w:r>
            <w:r>
              <w:t xml:space="preserve">18) and is reported as indicative only.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Comparison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 (95% CrI)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τ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GRADE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Overall survival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10 133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0·84 (0·76–0·92)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0·66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10 133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1·04 (0·89–1·22)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12 791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0·83 (0·75–0·92)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12 791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0·81 (0·70–0·93)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1·11 (0·95–1·30)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0·84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Non-relapse mortality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0·88 (0·66–1·18)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0·90 (0·59–1·36)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k=2, not assessed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2529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0·96 (0·74–1·24)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Relapse-related mortality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11 121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0·86 (0·77–0·97)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0·47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11 121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0·85 (0·73–0·99)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17 182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0·79 (0·69–0·89)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0·80 (0·50–1·27)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Acute GVHD II–IV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4197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0·67 (0·59–0·78)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0·63 (0·47–0·83)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1·00 (0·80–1·25)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Chronic GVHD mod–severe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0·47 (0·38–0·57)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0·79 (0·55–1·14)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0·89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Chronic GVHD any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0·23 (0·18–0·30)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0·67 (0·39–1·14)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CMV reactivation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1·26 (1·07–1·47)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0·73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1·25 (1·01–1·54)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0·74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0·97 (0·77–1·23)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0·63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1·00 (0·79–1·26)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Bloodstream infection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1·87 (1·33–2·62)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Invasive fungal infection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0·43 (0·29–0·63)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BK virus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2·48 (1·82–3·38)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1·00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C2*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2·44 (1·40–4·26)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0·39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Infection-related mortality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1·19 (1·00–1·43)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13 346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0·90 (0·74–1·09)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0·58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62"/>
          <w:p/>
        </w:tc>
      </w:tr>
    </w:tbl>
    <w:p>
      <w:r>
        <w:br w:type="page"/>
      </w:r>
    </w:p>
    <w:bookmarkEnd w:id="63"/>
    <w:bookmarkStart w:id="85" w:name="figures"/>
    <w:p>
      <w:pPr>
        <w:pStyle w:val="Heading2"/>
      </w:pPr>
      <w:r>
        <w:t xml:space="preserve">Figures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prisma"/>
          <w:p>
            <w:pPr>
              <w:pStyle w:val="Compact"/>
              <w:jc w:val="left"/>
            </w:pPr>
            <w:r>
              <w:drawing>
                <wp:inline>
                  <wp:extent cx="5334000" cy="7064428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figures/Figure1_PRISMA_flow_diagram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064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r>
              <w:rPr>
                <w:b/>
                <w:bCs/>
              </w:rPr>
              <w:t xml:space="preserve">Study selection (PRISMA 2020 flow diagram).</w:t>
            </w:r>
            <w:r>
              <w:t xml:space="preserve"> </w:t>
            </w:r>
            <w:r>
              <w:t xml:space="preserve">4145 records were</w:t>
            </w:r>
            <w:r>
              <w:t xml:space="preserve"> </w:t>
            </w:r>
            <w:r>
              <w:t xml:space="preserve">identified from databases (EMBASE 2603, PubMed 1061, SCOPUS 481) and</w:t>
            </w:r>
            <w:r>
              <w:t xml:space="preserve"> </w:t>
            </w:r>
            <w:r>
              <w:t xml:space="preserve">1220 duplicates removed. 2925 records were screened and 2408 excluded at</w:t>
            </w:r>
            <w:r>
              <w:t xml:space="preserve"> </w:t>
            </w:r>
            <w:r>
              <w:t xml:space="preserve">title and abstract. 517 reports were sought for retrieval; 52 were not</w:t>
            </w:r>
            <w:r>
              <w:t xml:space="preserve"> </w:t>
            </w:r>
            <w:r>
              <w:t xml:space="preserve">retrieved or not in English. 465 full-text reports were assessed and 214</w:t>
            </w:r>
            <w:r>
              <w:t xml:space="preserve"> </w:t>
            </w:r>
            <w:r>
              <w:t xml:space="preserve">excluded (appendix pp 6–14). 251 studies were included in the systematic</w:t>
            </w:r>
            <w:r>
              <w:t xml:space="preserve"> </w:t>
            </w:r>
            <w:r>
              <w:t xml:space="preserve">review; 117 with extractable event counts were included in the</w:t>
            </w:r>
            <w:r>
              <w:t xml:space="preserve"> </w:t>
            </w:r>
            <w:r>
              <w:t xml:space="preserve">meta-analysis (C1 83 studies; C2 42 studies; C3 13</w:t>
            </w:r>
            <w:r>
              <w:t xml:space="preserve"> </w:t>
            </w:r>
            <w:r>
              <w:t xml:space="preserve">studies).</w:t>
            </w:r>
          </w:p>
          <w:bookmarkEnd w:id="67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os"/>
          <w:p>
            <w:pPr>
              <w:pStyle w:val="Compact"/>
              <w:jc w:val="left"/>
            </w:pPr>
            <w:r>
              <w:drawing>
                <wp:inline>
                  <wp:extent cx="5334000" cy="68580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figures/Figure2_OS_forest_setB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85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Forest plot — overall survival, comparison 1 (PTCy vs CNI +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MTX/MMF).</w:t>
            </w:r>
            <w:r>
              <w:t xml:space="preserve"> </w:t>
            </w:r>
            <w:r>
              <w:t xml:space="preserve">Study rows are raw per-study odds ratios with Wald 95% CIs,</w:t>
            </w:r>
            <w:r>
              <w:t xml:space="preserve"> </w:t>
            </w:r>
            <w:r>
              <w:t xml:space="preserve">computed from the extracted event counts; the diamond is the pooled</w:t>
            </w:r>
            <w:r>
              <w:t xml:space="preserve"> </w:t>
            </w:r>
            <w:r>
              <w:t xml:space="preserve">Bayesian random-effects posterior median with 95% credible interval</w:t>
            </w:r>
            <w:r>
              <w:t xml:space="preserve"> </w:t>
            </w:r>
            <w:r>
              <w:t xml:space="preserve">(primary model M1). k = 35 after cohort</w:t>
            </w:r>
            <w:r>
              <w:t xml:space="preserve"> </w:t>
            </w:r>
            <w:r>
              <w:t xml:space="preserve">deduplication.</w:t>
            </w:r>
          </w:p>
          <w:bookmarkEnd w:id="71"/>
        </w:tc>
      </w:tr>
    </w:tbl>
    <w:p>
      <w:r>
        <w:br w:type="page"/>
      </w:r>
    </w:p>
    <w:bookmarkStart w:id="80" w:name="fig-cmv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75" w:name="fig-cmv-a"/>
                <w:p>
                  <w:pPr>
                    <w:pStyle w:val="Compact"/>
                    <w:jc w:val="left"/>
                    <w:jc w:val="left"/>
                  </w:pPr>
                  <w:r>
                    <w:drawing>
                      <wp:inline>
                        <wp:extent cx="5334000" cy="4953000"/>
                        <wp:effectExtent b="0" l="0" r="0" t="0"/>
                        <wp:docPr descr="" title="" id="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figures/Figure3a_CMV_C1_forest_setB.png" id="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953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left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Comparison 1: PTCy vs CNI + MTX/MMF (k = 22, odds ratio 1·26</w:t>
                  </w:r>
                  <w:r>
                    <w:t xml:space="preserve"> </w:t>
                  </w:r>
                  <w:r>
                    <w:t xml:space="preserve">[1·07–1·47])</w:t>
                  </w:r>
                </w:p>
                <w:bookmarkEnd w:id="75"/>
              </w:tc>
            </w:tr>
          </w:tbl>
          <w:p/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79" w:name="fig-cmv-b"/>
                <w:p>
                  <w:pPr>
                    <w:pStyle w:val="Compact"/>
                    <w:jc w:val="left"/>
                    <w:jc w:val="left"/>
                  </w:pPr>
                  <w:r>
                    <w:drawing>
                      <wp:inline>
                        <wp:extent cx="5334000" cy="3429000"/>
                        <wp:effectExtent b="0" l="0" r="0" t="0"/>
                        <wp:docPr descr="" title="" id="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figures/Figure3b_CMV_C2_forest_setB.png" id="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3429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left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Comparison 2: PTCy vs ATG (k = 12, 0·97</w:t>
                  </w:r>
                  <w:r>
                    <w:t xml:space="preserve"> </w:t>
                  </w:r>
                  <w:r>
                    <w:t xml:space="preserve">[0·77–1·23])</w:t>
                  </w:r>
                </w:p>
                <w:bookmarkEnd w:id="7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</w:t>
      </w:r>
      <w:r>
        <w:t xml:space="preserve"> </w:t>
      </w:r>
      <w:r>
        <w:rPr>
          <w:b/>
          <w:bCs/>
        </w:rPr>
        <w:t xml:space="preserve">Forest plots — CMV reactivation.</w:t>
      </w:r>
      <w:r>
        <w:t xml:space="preserve"> </w:t>
      </w:r>
      <w:r>
        <w:t xml:space="preserve">Individual study odds ratios for</w:t>
      </w:r>
      <w:r>
        <w:t xml:space="preserve"> </w:t>
      </w:r>
      <w:r>
        <w:t xml:space="preserve">any CMV reactivation, with the pooled Bayesian posterior median and 95%</w:t>
      </w:r>
      <w:r>
        <w:t xml:space="preserve"> </w:t>
      </w:r>
      <w:r>
        <w:t xml:space="preserve">credible interval. CMV excess is seen against CNI-based prophylaxis but</w:t>
      </w:r>
      <w:r>
        <w:t xml:space="preserve"> </w:t>
      </w:r>
      <w:r>
        <w:t xml:space="preserve">not against ATG, consistent with a T-cell depletion depth hierarchy.</w:t>
      </w:r>
    </w:p>
    <w:bookmarkEnd w:id="80"/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infections"/>
          <w:p>
            <w:pPr>
              <w:pStyle w:val="Compact"/>
              <w:jc w:val="left"/>
            </w:pPr>
            <w:r>
              <w:drawing>
                <wp:inline>
                  <wp:extent cx="5334000" cy="800099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figures/Figure4_infections_forest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000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w:r>
              <w:rPr>
                <w:b/>
                <w:bCs/>
              </w:rPr>
              <w:t xml:space="preserve">Forest plots — bacterial, fungal, and BK viral infection risk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(comparison 1).</w:t>
            </w:r>
            <w:r>
              <w:t xml:space="preserve"> </w:t>
            </w:r>
            <w:r>
              <w:t xml:space="preserve">Individual study odds ratios (raw per-study estimates)</w:t>
            </w:r>
            <w:r>
              <w:t xml:space="preserve"> </w:t>
            </w:r>
            <w:r>
              <w:t xml:space="preserve">and pooled Bayesian random-effects posterior median with 95% credible</w:t>
            </w:r>
            <w:r>
              <w:t xml:space="preserve"> </w:t>
            </w:r>
            <w:r>
              <w:t xml:space="preserve">interval (primary model M1), shown with the posterior density above each</w:t>
            </w:r>
            <w:r>
              <w:t xml:space="preserve"> </w:t>
            </w:r>
            <w:r>
              <w:t xml:space="preserve">pooled row. Panel A: bloodstream infection, any pathogen (k = 6, odds</w:t>
            </w:r>
            <w:r>
              <w:t xml:space="preserve"> </w:t>
            </w:r>
            <w:r>
              <w:t xml:space="preserve">ratio 1·87 [1·33–2·62]). Panel B: invasive fungal infection, any (k =</w:t>
            </w:r>
            <w:r>
              <w:t xml:space="preserve"> </w:t>
            </w:r>
            <w:r>
              <w:t xml:space="preserve">6, 0·43 [0·29–0·63]; τ = 1·53). Panel C: BK virus reactivation (k =</w:t>
            </w:r>
            <w:r>
              <w:t xml:space="preserve"> </w:t>
            </w:r>
            <w:r>
              <w:t xml:space="preserve">11, 2·48 [1·82–3·38]), the largest infection effect observed. All</w:t>
            </w:r>
            <w:r>
              <w:t xml:space="preserve"> </w:t>
            </w:r>
            <w:r>
              <w:t xml:space="preserve">panels are comparison 1 (PTCy versus CNI plus MTX or MMF); insufficient</w:t>
            </w:r>
            <w:r>
              <w:t xml:space="preserve"> </w:t>
            </w:r>
            <w:r>
              <w:t xml:space="preserve">studies were available to fit the corresponding comparison 2 models for</w:t>
            </w:r>
            <w:r>
              <w:t xml:space="preserve"> </w:t>
            </w:r>
            <w:r>
              <w:t xml:space="preserve">BSI and IFI. None of these three outcomes was affected by cohort</w:t>
            </w:r>
            <w:r>
              <w:t xml:space="preserve"> </w:t>
            </w:r>
            <w:r>
              <w:t xml:space="preserve">deduplication.</w:t>
            </w:r>
          </w:p>
          <w:bookmarkEnd w:id="84"/>
        </w:tc>
      </w:tr>
    </w:tbl>
    <w:bookmarkEnd w:id="85"/>
    <w:sectPr>
      <w:footerReference r:id="rIdLancetFooter" w:type="default"/>
      <w:lnNumType w:countBy="1" w:distance="360" w:restart="continuous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-lancet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40" w:before="0" w:line="480" w:lineRule="auto"/>
      <w:jc w:val="left"/>
    </w:pPr>
  </w:style>
  <w:style w:styleId="BodyText" w:type="paragraph">
    <w:name w:val="Body Text"/>
    <w:basedOn w:val="Normal"/>
    <w:link w:val="BodyTextChar"/>
    <w:qFormat/>
    <w:pPr>
      <w:spacing w:after="240" w:before="0" w:line="480" w:lineRule="auto"/>
      <w:jc w:val="left"/>
    </w:pPr>
  </w:style>
  <w:style w:customStyle="1" w:styleId="FirstParagraph" w:type="paragraph">
    <w:name w:val="First Paragraph"/>
    <w:basedOn w:val="BodyText"/>
    <w:next w:val="BodyText"/>
    <w:qFormat/>
    <w:pPr>
      <w:spacing w:after="240" w:before="0" w:line="480" w:lineRule="auto"/>
      <w:jc w:val="left"/>
    </w:pPr>
  </w:style>
  <w:style w:customStyle="1" w:styleId="Compact" w:type="paragraph">
    <w:name w:val="Compact"/>
    <w:basedOn w:val="BodyText"/>
    <w:qFormat/>
    <w:pPr>
      <w:spacing w:after="60" w:before="60" w:line="240" w:lineRule="auto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  <w:pPr>
      <w:spacing w:after="240" w:before="0" w:line="480" w:lineRule="auto"/>
      <w:jc w:val="left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spacing w:after="120" w:before="240" w:line="480" w:lineRule="auto"/>
      <w:jc w:val="left"/>
      <w:outlineLvl w:val="0"/>
    </w:pPr>
    <w:rPr>
      <w:rFonts w:ascii="Times New Roman" w:hAnsi="Times New Roman"/>
      <w:b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after="120" w:before="240" w:line="480" w:lineRule="auto"/>
      <w:jc w:val="left"/>
      <w:outlineLvl w:val="1"/>
    </w:pPr>
    <w:rPr>
      <w:rFonts w:ascii="Times New Roman" w:hAnsi="Times New Roman"/>
      <w:b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after="120" w:before="240" w:line="480" w:lineRule="auto"/>
      <w:jc w:val="left"/>
      <w:outlineLvl w:val="2"/>
    </w:pPr>
    <w:rPr>
      <w:rFonts w:ascii="Times New Roman" w:hAnsi="Times New Roman"/>
      <w:b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60" w:line="240" w:lineRule="auto"/>
      <w:jc w:val="left"/>
    </w:pPr>
    <w:rPr>
      <w:i/>
    </w:rPr>
  </w:style>
  <w:style w:customStyle="1" w:styleId="TableCaption" w:type="paragraph">
    <w:name w:val="Table Caption"/>
    <w:basedOn w:val="Caption"/>
    <w:pPr>
      <w:spacing w:after="60" w:before="60" w:line="240" w:lineRule="auto"/>
      <w:jc w:val="left"/>
    </w:pPr>
  </w:style>
  <w:style w:customStyle="1" w:styleId="ImageCaption" w:type="paragraph">
    <w:name w:val="Image Caption"/>
    <w:basedOn w:val="Caption"/>
    <w:pPr>
      <w:spacing w:after="60" w:before="60" w:line="240" w:lineRule="auto"/>
      <w:jc w:val="left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LancetFooter" Target="footer-lancet.xml" Type="http://schemas.openxmlformats.org/officeDocument/2006/relationships/footer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hyperlink" Id="rId35" Target="https://doi.org/10.1001/jamaoncol.2019.3541" TargetMode="External" /><Relationship Type="http://schemas.openxmlformats.org/officeDocument/2006/relationships/hyperlink" Id="rId49" Target="https://doi.org/10.1016/j.bbmt.2008.03.005" TargetMode="External" /><Relationship Type="http://schemas.openxmlformats.org/officeDocument/2006/relationships/hyperlink" Id="rId39" Target="https://doi.org/10.1016/j.bbmt.2019.07.028" TargetMode="External" /><Relationship Type="http://schemas.openxmlformats.org/officeDocument/2006/relationships/hyperlink" Id="rId41" Target="https://doi.org/10.1016/j.jtct.2021.06.011" TargetMode="External" /><Relationship Type="http://schemas.openxmlformats.org/officeDocument/2006/relationships/hyperlink" Id="rId57" Target="https://doi.org/10.1016/j.jtct.2023.09.017" TargetMode="External" /><Relationship Type="http://schemas.openxmlformats.org/officeDocument/2006/relationships/hyperlink" Id="rId45" Target="https://doi.org/10.1016/j.jtct.2024.07.017" TargetMode="External" /><Relationship Type="http://schemas.openxmlformats.org/officeDocument/2006/relationships/hyperlink" Id="rId51" Target="https://doi.org/10.1038/nrclinonc.2015.128" TargetMode="External" /><Relationship Type="http://schemas.openxmlformats.org/officeDocument/2006/relationships/hyperlink" Id="rId47" Target="https://doi.org/10.1053/bbmt.2002.v8.pm12171484" TargetMode="External" /><Relationship Type="http://schemas.openxmlformats.org/officeDocument/2006/relationships/hyperlink" Id="rId53" Target="https://doi.org/10.1056/NEJMoa2215943" TargetMode="External" /><Relationship Type="http://schemas.openxmlformats.org/officeDocument/2006/relationships/hyperlink" Id="rId37" Target="https://doi.org/10.1177/09636897261454024" TargetMode="External" /><Relationship Type="http://schemas.openxmlformats.org/officeDocument/2006/relationships/hyperlink" Id="rId55" Target="https://doi.org/10.1182/blood.2020009362" TargetMode="External" /><Relationship Type="http://schemas.openxmlformats.org/officeDocument/2006/relationships/hyperlink" Id="rId43" Target="https://doi.org/10.3389/fonc.2023.1071268" TargetMode="External" /><Relationship Type="http://schemas.openxmlformats.org/officeDocument/2006/relationships/hyperlink" Id="rId30" Target="https://github.com/Russlewisbo/ptcy_metaanalys" TargetMode="External" /><Relationship Type="http://schemas.openxmlformats.org/officeDocument/2006/relationships/hyperlink" Id="rId31" Target="https://github.com/lewis-id-lab/ptcy-infection" TargetMode="External" /><Relationship Type="http://schemas.openxmlformats.org/officeDocument/2006/relationships/hyperlink" Id="rId32" Target="https://lewis-id-lab.github.io/ptcy-infec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oi.org/10.1001/jamaoncol.2019.3541" TargetMode="External" /><Relationship Type="http://schemas.openxmlformats.org/officeDocument/2006/relationships/hyperlink" Id="rId49" Target="https://doi.org/10.1016/j.bbmt.2008.03.005" TargetMode="External" /><Relationship Type="http://schemas.openxmlformats.org/officeDocument/2006/relationships/hyperlink" Id="rId39" Target="https://doi.org/10.1016/j.bbmt.2019.07.028" TargetMode="External" /><Relationship Type="http://schemas.openxmlformats.org/officeDocument/2006/relationships/hyperlink" Id="rId41" Target="https://doi.org/10.1016/j.jtct.2021.06.011" TargetMode="External" /><Relationship Type="http://schemas.openxmlformats.org/officeDocument/2006/relationships/hyperlink" Id="rId57" Target="https://doi.org/10.1016/j.jtct.2023.09.017" TargetMode="External" /><Relationship Type="http://schemas.openxmlformats.org/officeDocument/2006/relationships/hyperlink" Id="rId45" Target="https://doi.org/10.1016/j.jtct.2024.07.017" TargetMode="External" /><Relationship Type="http://schemas.openxmlformats.org/officeDocument/2006/relationships/hyperlink" Id="rId51" Target="https://doi.org/10.1038/nrclinonc.2015.128" TargetMode="External" /><Relationship Type="http://schemas.openxmlformats.org/officeDocument/2006/relationships/hyperlink" Id="rId47" Target="https://doi.org/10.1053/bbmt.2002.v8.pm12171484" TargetMode="External" /><Relationship Type="http://schemas.openxmlformats.org/officeDocument/2006/relationships/hyperlink" Id="rId53" Target="https://doi.org/10.1056/NEJMoa2215943" TargetMode="External" /><Relationship Type="http://schemas.openxmlformats.org/officeDocument/2006/relationships/hyperlink" Id="rId37" Target="https://doi.org/10.1177/09636897261454024" TargetMode="External" /><Relationship Type="http://schemas.openxmlformats.org/officeDocument/2006/relationships/hyperlink" Id="rId55" Target="https://doi.org/10.1182/blood.2020009362" TargetMode="External" /><Relationship Type="http://schemas.openxmlformats.org/officeDocument/2006/relationships/hyperlink" Id="rId43" Target="https://doi.org/10.3389/fonc.2023.1071268" TargetMode="External" /><Relationship Type="http://schemas.openxmlformats.org/officeDocument/2006/relationships/hyperlink" Id="rId30" Target="https://github.com/Russlewisbo/ptcy_metaanalys" TargetMode="External" /><Relationship Type="http://schemas.openxmlformats.org/officeDocument/2006/relationships/hyperlink" Id="rId31" Target="https://github.com/lewis-id-lab/ptcy-infection" TargetMode="External" /><Relationship Type="http://schemas.openxmlformats.org/officeDocument/2006/relationships/hyperlink" Id="rId32" Target="https://lewis-id-lab.github.io/ptcy-infec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Post-transplant cyclophosphamide as graft-versus-host disease prophylaxis after allogeneic haematopoietic stem-cell transplantation: a systematic review and Bayesian meta-analysis of infection risk</dc:title>
  <dc:creator>Marta Stanzani; Dimitrios P Kontoyiannis; Russell E Lewis</dc:creator>
  <dc:language>en-GB</dc:language>
  <cp:keywords>post-transplant cyclophosphamide, graft-versus-host disease, allogeneic haematopoietic stem-cell transplantation, cytomegalovirus, Bayesian meta-analysis</cp:keywords>
  <dcterms:created xsi:type="dcterms:W3CDTF">2026-09-29T16:16:47Z</dcterms:created>
  <dcterms:modified xsi:type="dcterms:W3CDTF">2026-09-29T16:16:47Z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itations-hover">
    <vt:lpwstr>False</vt:lpwstr>
  </property>
  <property fmtid="{D5CDD505-2E9C-101B-9397-08002B2CF9AE}" pid="9" name="clear-hidden-classes">
    <vt:lpwstr>none</vt:lpwstr>
  </property>
  <property fmtid="{D5CDD505-2E9C-101B-9397-08002B2CF9AE}" pid="10" name="csl">
    <vt:lpwstr>_extensions/lancet-haematology/the-lancet.csl</vt:lpwstr>
  </property>
  <property fmtid="{D5CDD505-2E9C-101B-9397-08002B2CF9AE}" pid="11" name="date">
    <vt:lpwstr>2026-09-29</vt:lpwstr>
  </property>
  <property fmtid="{D5CDD505-2E9C-101B-9397-08002B2CF9AE}" pid="12" name="editor">
    <vt:lpwstr/>
  </property>
  <property fmtid="{D5CDD505-2E9C-101B-9397-08002B2CF9AE}" pid="13" name="funding">
    <vt:lpwstr/>
  </property>
  <property fmtid="{D5CDD505-2E9C-101B-9397-08002B2CF9AE}" pid="14" name="google-scholar">
    <vt:lpwstr>True</vt:lpwstr>
  </property>
  <property fmtid="{D5CDD505-2E9C-101B-9397-08002B2CF9AE}" pid="15" name="header-includes">
    <vt:lpwstr/>
  </property>
  <property fmtid="{D5CDD505-2E9C-101B-9397-08002B2CF9AE}" pid="16" name="include-after">
    <vt:lpwstr/>
  </property>
  <property fmtid="{D5CDD505-2E9C-101B-9397-08002B2CF9AE}" pid="17" name="include-before">
    <vt:lpwstr/>
  </property>
  <property fmtid="{D5CDD505-2E9C-101B-9397-08002B2CF9AE}" pid="18" name="labels">
    <vt:lpwstr/>
  </property>
  <property fmtid="{D5CDD505-2E9C-101B-9397-08002B2CF9AE}" pid="19" name="lancet">
    <vt:lpwstr/>
  </property>
  <property fmtid="{D5CDD505-2E9C-101B-9397-08002B2CF9AE}" pid="20" name="lightbox">
    <vt:lpwstr>auto</vt:lpwstr>
  </property>
  <property fmtid="{D5CDD505-2E9C-101B-9397-08002B2CF9AE}" pid="21" name="link-citations">
    <vt:lpwstr>True</vt:lpwstr>
  </property>
  <property fmtid="{D5CDD505-2E9C-101B-9397-08002B2CF9AE}" pid="22" name="manuscript">
    <vt:lpwstr/>
  </property>
  <property fmtid="{D5CDD505-2E9C-101B-9397-08002B2CF9AE}" pid="23" name="notebook-preview-options">
    <vt:lpwstr/>
  </property>
  <property fmtid="{D5CDD505-2E9C-101B-9397-08002B2CF9AE}" pid="24" name="quarto-internal">
    <vt:lpwstr/>
  </property>
  <property fmtid="{D5CDD505-2E9C-101B-9397-08002B2CF9AE}" pid="25" name="remove-hidden">
    <vt:lpwstr>all</vt:lpwstr>
  </property>
  <property fmtid="{D5CDD505-2E9C-101B-9397-08002B2CF9AE}" pid="26" name="revealjs-plugins">
    <vt:lpwstr/>
  </property>
  <property fmtid="{D5CDD505-2E9C-101B-9397-08002B2CF9AE}" pid="27" name="short-title">
    <vt:lpwstr>PTCy and infection risk after allo-HSCT</vt:lpwstr>
  </property>
  <property fmtid="{D5CDD505-2E9C-101B-9397-08002B2CF9AE}" pid="28" name="template-partials">
    <vt:lpwstr/>
  </property>
  <property fmtid="{D5CDD505-2E9C-101B-9397-08002B2CF9AE}" pid="29" name="theme">
    <vt:lpwstr>cosmo</vt:lpwstr>
  </property>
  <property fmtid="{D5CDD505-2E9C-101B-9397-08002B2CF9AE}" pid="30" name="title-block-style">
    <vt:lpwstr>manuscript</vt:lpwstr>
  </property>
  <property fmtid="{D5CDD505-2E9C-101B-9397-08002B2CF9AE}" pid="31" name="toc-title">
    <vt:lpwstr>Table of contents</vt:lpwstr>
  </property>
  <property fmtid="{D5CDD505-2E9C-101B-9397-08002B2CF9AE}" pid="32" name="unroll-markdown-cells">
    <vt:lpwstr>True</vt:lpwstr>
  </property>
</Properties>
</file>