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B2A4A"/>
          <w:sz w:val="64"/>
          <w:szCs w:val="64"/>
        </w:rPr>
        <w:t xml:space="preserve">Haven</w:t>
      </w:r>
    </w:p>
    <w:p>
      <w:pPr>
        <w:spacing w:after="120" w:before="0"/>
      </w:pPr>
      <w:r>
        <w:rPr>
          <w:rFonts w:ascii="Arial" w:cs="Arial" w:eastAsia="Arial" w:hAnsi="Arial"/>
          <w:b/>
          <w:bCs/>
          <w:color w:val="0D7A7A"/>
          <w:sz w:val="40"/>
          <w:szCs w:val="40"/>
        </w:rPr>
        <w:t xml:space="preserve">COL Wiki &amp; Roadmap Gap Analysis</w:t>
      </w:r>
    </w:p>
    <w:p>
      <w:pPr>
        <w:pBdr>
          <w:bottom w:val="single" w:color="C9962B" w:sz="4" w:space="1"/>
        </w:pBdr>
        <w:spacing w:after="120" w:before="120"/>
      </w:pPr>
      <w:r>
        <w:t xml:space="preserve"/>
      </w:r>
    </w:p>
    <w:p>
      <w:pPr>
        <w:spacing w:after="60" w:before="120"/>
      </w:pPr>
      <w:r>
        <w:rPr>
          <w:rFonts w:ascii="Arial" w:cs="Arial" w:eastAsia="Arial" w:hAnsi="Arial"/>
          <w:color w:val="5D6D7E"/>
          <w:sz w:val="22"/>
          <w:szCs w:val="22"/>
        </w:rPr>
        <w:t xml:space="preserve">Prepared by BlackRock AI  |  April 8, 2026  |  CONFIDENTIAL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160"/>
              <w:left w:type="dxa" w:w="160"/>
              <w:bottom w:type="dxa" w:w="160"/>
              <w:right w:type="dxa" w:w="160"/>
            </w:tcMar>
          </w:tcPr>
          <w:p>
            <w:pPr>
              <w:jc w:val="center"/>
            </w:pPr>
            <w:r>
              <w:rPr>
                <w:rFonts w:ascii="Arial" w:cs="Arial" w:eastAsia="Arial" w:hAnsi="Arial"/>
                <w:b/>
                <w:bCs/>
                <w:color w:val="C9962B"/>
                <w:sz w:val="48"/>
                <w:szCs w:val="48"/>
              </w:rPr>
              <w:t xml:space="preserve">30</w:t>
            </w:r>
          </w:p>
          <w:p>
            <w:pPr>
              <w:jc w:val="center"/>
            </w:pPr>
            <w:r>
              <w:rPr>
                <w:rFonts w:ascii="Arial" w:cs="Arial" w:eastAsia="Arial" w:hAnsi="Arial"/>
                <w:color w:val="FFFFFF"/>
                <w:sz w:val="20"/>
                <w:szCs w:val="20"/>
              </w:rPr>
              <w:t xml:space="preserve">Total Modules</w:t>
            </w:r>
          </w:p>
        </w:tc>
        <w:tc>
          <w:tcPr>
            <w:tcW w:type="dxa" w:w="2340"/>
            <w:tcBorders>
              <w:top w:val="single" w:color="CCCCCC" w:sz="1"/>
              <w:left w:val="single" w:color="CCCCCC" w:sz="1"/>
              <w:bottom w:val="single" w:color="CCCCCC" w:sz="1"/>
              <w:right w:val="single" w:color="CCCCCC" w:sz="1"/>
            </w:tcBorders>
            <w:shd w:fill="27AE60" w:val="clear"/>
            <w:tcMar>
              <w:top w:type="dxa" w:w="160"/>
              <w:left w:type="dxa" w:w="160"/>
              <w:bottom w:type="dxa" w:w="160"/>
              <w:right w:type="dxa" w:w="160"/>
            </w:tcMar>
          </w:tcPr>
          <w:p>
            <w:pPr>
              <w:jc w:val="center"/>
            </w:pPr>
            <w:r>
              <w:rPr>
                <w:rFonts w:ascii="Arial" w:cs="Arial" w:eastAsia="Arial" w:hAnsi="Arial"/>
                <w:b/>
                <w:bCs/>
                <w:color w:val="FFFFFF"/>
                <w:sz w:val="48"/>
                <w:szCs w:val="48"/>
              </w:rPr>
              <w:t xml:space="preserve">11</w:t>
            </w:r>
          </w:p>
          <w:p>
            <w:pPr>
              <w:jc w:val="center"/>
            </w:pPr>
            <w:r>
              <w:rPr>
                <w:rFonts w:ascii="Arial" w:cs="Arial" w:eastAsia="Arial" w:hAnsi="Arial"/>
                <w:color w:val="FFFFFF"/>
                <w:sz w:val="20"/>
                <w:szCs w:val="20"/>
              </w:rPr>
              <w:t xml:space="preserve">FULL Specs</w:t>
            </w:r>
          </w:p>
        </w:tc>
        <w:tc>
          <w:tcPr>
            <w:tcW w:type="dxa" w:w="2340"/>
            <w:tcBorders>
              <w:top w:val="single" w:color="CCCCCC" w:sz="1"/>
              <w:left w:val="single" w:color="CCCCCC" w:sz="1"/>
              <w:bottom w:val="single" w:color="CCCCCC" w:sz="1"/>
              <w:right w:val="single" w:color="CCCCCC" w:sz="1"/>
            </w:tcBorders>
            <w:shd w:fill="E67E22" w:val="clear"/>
            <w:tcMar>
              <w:top w:type="dxa" w:w="160"/>
              <w:left w:type="dxa" w:w="160"/>
              <w:bottom w:type="dxa" w:w="160"/>
              <w:right w:type="dxa" w:w="160"/>
            </w:tcMar>
          </w:tcPr>
          <w:p>
            <w:pPr>
              <w:jc w:val="center"/>
            </w:pPr>
            <w:r>
              <w:rPr>
                <w:rFonts w:ascii="Arial" w:cs="Arial" w:eastAsia="Arial" w:hAnsi="Arial"/>
                <w:b/>
                <w:bCs/>
                <w:color w:val="FFFFFF"/>
                <w:sz w:val="48"/>
                <w:szCs w:val="48"/>
              </w:rPr>
              <w:t xml:space="preserve">11</w:t>
            </w:r>
          </w:p>
          <w:p>
            <w:pPr>
              <w:jc w:val="center"/>
            </w:pPr>
            <w:r>
              <w:rPr>
                <w:rFonts w:ascii="Arial" w:cs="Arial" w:eastAsia="Arial" w:hAnsi="Arial"/>
                <w:color w:val="FFFFFF"/>
                <w:sz w:val="20"/>
                <w:szCs w:val="20"/>
              </w:rPr>
              <w:t xml:space="preserve">PARTIAL Specs</w:t>
            </w:r>
          </w:p>
        </w:tc>
        <w:tc>
          <w:tcPr>
            <w:tcW w:type="dxa" w:w="2340"/>
            <w:tcBorders>
              <w:top w:val="single" w:color="CCCCCC" w:sz="1"/>
              <w:left w:val="single" w:color="CCCCCC" w:sz="1"/>
              <w:bottom w:val="single" w:color="CCCCCC" w:sz="1"/>
              <w:right w:val="single" w:color="CCCCCC" w:sz="1"/>
            </w:tcBorders>
            <w:shd w:fill="C0392B" w:val="clear"/>
            <w:tcMar>
              <w:top w:type="dxa" w:w="160"/>
              <w:left w:type="dxa" w:w="160"/>
              <w:bottom w:type="dxa" w:w="160"/>
              <w:right w:type="dxa" w:w="160"/>
            </w:tcMar>
          </w:tcPr>
          <w:p>
            <w:pPr>
              <w:jc w:val="center"/>
            </w:pPr>
            <w:r>
              <w:rPr>
                <w:rFonts w:ascii="Arial" w:cs="Arial" w:eastAsia="Arial" w:hAnsi="Arial"/>
                <w:b/>
                <w:bCs/>
                <w:color w:val="FFFFFF"/>
                <w:sz w:val="48"/>
                <w:szCs w:val="48"/>
              </w:rPr>
              <w:t xml:space="preserve">8</w:t>
            </w:r>
          </w:p>
          <w:p>
            <w:pPr>
              <w:jc w:val="center"/>
            </w:pPr>
            <w:r>
              <w:rPr>
                <w:rFonts w:ascii="Arial" w:cs="Arial" w:eastAsia="Arial" w:hAnsi="Arial"/>
                <w:color w:val="FFFFFF"/>
                <w:sz w:val="20"/>
                <w:szCs w:val="20"/>
              </w:rPr>
              <w:t xml:space="preserve">STUB / Missing Specs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392B" w:val="clear"/>
            <w:tcMar>
              <w:top w:type="dxa" w:w="160"/>
              <w:left w:type="dxa" w:w="160"/>
              <w:bottom w:type="dxa" w:w="160"/>
              <w:right w:type="dxa" w:w="160"/>
            </w:tcMar>
          </w:tcPr>
          <w:p>
            <w:pPr>
              <w:jc w:val="center"/>
            </w:pPr>
            <w:r>
              <w:rPr>
                <w:rFonts w:ascii="Arial" w:cs="Arial" w:eastAsia="Arial" w:hAnsi="Arial"/>
                <w:b/>
                <w:bCs/>
                <w:color w:val="FFFFFF"/>
                <w:sz w:val="48"/>
                <w:szCs w:val="48"/>
              </w:rPr>
              <w:t xml:space="preserve">5</w:t>
            </w:r>
          </w:p>
          <w:p>
            <w:pPr>
              <w:jc w:val="center"/>
            </w:pPr>
            <w:r>
              <w:rPr>
                <w:rFonts w:ascii="Arial" w:cs="Arial" w:eastAsia="Arial" w:hAnsi="Arial"/>
                <w:color w:val="FFFFFF"/>
                <w:sz w:val="20"/>
                <w:szCs w:val="20"/>
              </w:rPr>
              <w:t xml:space="preserve">CRITICAL Gaps</w:t>
            </w:r>
          </w:p>
        </w:tc>
        <w:tc>
          <w:tcPr>
            <w:tcW w:type="dxa" w:w="2340"/>
            <w:tcBorders>
              <w:top w:val="single" w:color="CCCCCC" w:sz="1"/>
              <w:left w:val="single" w:color="CCCCCC" w:sz="1"/>
              <w:bottom w:val="single" w:color="CCCCCC" w:sz="1"/>
              <w:right w:val="single" w:color="CCCCCC" w:sz="1"/>
            </w:tcBorders>
            <w:shd w:fill="E67E22" w:val="clear"/>
            <w:tcMar>
              <w:top w:type="dxa" w:w="160"/>
              <w:left w:type="dxa" w:w="160"/>
              <w:bottom w:type="dxa" w:w="160"/>
              <w:right w:type="dxa" w:w="160"/>
            </w:tcMar>
          </w:tcPr>
          <w:p>
            <w:pPr>
              <w:jc w:val="center"/>
            </w:pPr>
            <w:r>
              <w:rPr>
                <w:rFonts w:ascii="Arial" w:cs="Arial" w:eastAsia="Arial" w:hAnsi="Arial"/>
                <w:b/>
                <w:bCs/>
                <w:color w:val="FFFFFF"/>
                <w:sz w:val="48"/>
                <w:szCs w:val="48"/>
              </w:rPr>
              <w:t xml:space="preserve">9</w:t>
            </w:r>
          </w:p>
          <w:p>
            <w:pPr>
              <w:jc w:val="center"/>
            </w:pPr>
            <w:r>
              <w:rPr>
                <w:rFonts w:ascii="Arial" w:cs="Arial" w:eastAsia="Arial" w:hAnsi="Arial"/>
                <w:color w:val="FFFFFF"/>
                <w:sz w:val="20"/>
                <w:szCs w:val="20"/>
              </w:rPr>
              <w:t xml:space="preserve">HIGH Gaps</w:t>
            </w:r>
          </w:p>
        </w:tc>
        <w:tc>
          <w:tcPr>
            <w:tcW w:type="dxa" w:w="2340"/>
            <w:tcBorders>
              <w:top w:val="single" w:color="CCCCCC" w:sz="1"/>
              <w:left w:val="single" w:color="CCCCCC" w:sz="1"/>
              <w:bottom w:val="single" w:color="CCCCCC" w:sz="1"/>
              <w:right w:val="single" w:color="CCCCCC" w:sz="1"/>
            </w:tcBorders>
            <w:shd w:fill="C9962B" w:val="clear"/>
            <w:tcMar>
              <w:top w:type="dxa" w:w="160"/>
              <w:left w:type="dxa" w:w="160"/>
              <w:bottom w:type="dxa" w:w="160"/>
              <w:right w:type="dxa" w:w="160"/>
            </w:tcMar>
          </w:tcPr>
          <w:p>
            <w:pPr>
              <w:jc w:val="center"/>
            </w:pPr>
            <w:r>
              <w:rPr>
                <w:rFonts w:ascii="Arial" w:cs="Arial" w:eastAsia="Arial" w:hAnsi="Arial"/>
                <w:b/>
                <w:bCs/>
                <w:color w:val="FFFFFF"/>
                <w:sz w:val="48"/>
                <w:szCs w:val="48"/>
              </w:rPr>
              <w:t xml:space="preserve">7</w:t>
            </w:r>
          </w:p>
          <w:p>
            <w:pPr>
              <w:jc w:val="center"/>
            </w:pPr>
            <w:r>
              <w:rPr>
                <w:rFonts w:ascii="Arial" w:cs="Arial" w:eastAsia="Arial" w:hAnsi="Arial"/>
                <w:color w:val="FFFFFF"/>
                <w:sz w:val="20"/>
                <w:szCs w:val="20"/>
              </w:rPr>
              <w:t xml:space="preserve">MEDIUM Gaps</w:t>
            </w:r>
          </w:p>
        </w:tc>
        <w:tc>
          <w:tcPr>
            <w:tcW w:type="dxa" w:w="2340"/>
            <w:tcBorders>
              <w:top w:val="single" w:color="CCCCCC" w:sz="1"/>
              <w:left w:val="single" w:color="CCCCCC" w:sz="1"/>
              <w:bottom w:val="single" w:color="CCCCCC" w:sz="1"/>
              <w:right w:val="single" w:color="CCCCCC" w:sz="1"/>
            </w:tcBorders>
            <w:shd w:fill="0D7A7A" w:val="clear"/>
            <w:tcMar>
              <w:top w:type="dxa" w:w="160"/>
              <w:left w:type="dxa" w:w="160"/>
              <w:bottom w:type="dxa" w:w="160"/>
              <w:right w:type="dxa" w:w="160"/>
            </w:tcMar>
          </w:tcPr>
          <w:p>
            <w:pPr>
              <w:jc w:val="center"/>
            </w:pPr>
            <w:r>
              <w:rPr>
                <w:rFonts w:ascii="Arial" w:cs="Arial" w:eastAsia="Arial" w:hAnsi="Arial"/>
                <w:b/>
                <w:bCs/>
                <w:color w:val="FFFFFF"/>
                <w:sz w:val="48"/>
                <w:szCs w:val="48"/>
              </w:rPr>
              <w:t xml:space="preserve">10</w:t>
            </w:r>
          </w:p>
          <w:p>
            <w:pPr>
              <w:jc w:val="center"/>
            </w:pPr>
            <w:r>
              <w:rPr>
                <w:rFonts w:ascii="Arial" w:cs="Arial" w:eastAsia="Arial" w:hAnsi="Arial"/>
                <w:color w:val="FFFFFF"/>
                <w:sz w:val="20"/>
                <w:szCs w:val="20"/>
              </w:rPr>
              <w:t xml:space="preserve">Spec Misalignments</w:t>
            </w:r>
          </w:p>
        </w:tc>
      </w:tr>
    </w:tbl>
    <w:p>
      <w:r>
        <w:br w:type="page"/>
      </w:r>
    </w:p>
    <w:p>
      <w:pPr>
        <w:pStyle w:val="Heading1"/>
        <w:spacing w:after="120" w:before="360"/>
      </w:pPr>
      <w:r>
        <w:rPr>
          <w:rFonts w:ascii="Arial" w:cs="Arial" w:eastAsia="Arial" w:hAnsi="Arial"/>
          <w:b/>
          <w:bCs/>
          <w:color w:val="1B2A4A"/>
          <w:sz w:val="32"/>
          <w:szCs w:val="32"/>
        </w:rPr>
        <w:t xml:space="preserve">Executive Summary</w:t>
      </w:r>
    </w:p>
    <w:p>
      <w:pPr>
        <w:pBdr>
          <w:bottom w:val="single" w:color="0D7A7A" w:sz="4" w:space="1"/>
        </w:pBdr>
        <w:spacing w:after="120" w:before="120"/>
      </w:pPr>
      <w:r>
        <w:t xml:space="preserve"/>
      </w:r>
    </w:p>
    <w:p>
      <w:pPr>
        <w:spacing w:after="120" w:before="60"/>
      </w:pPr>
      <w:r>
        <w:rPr>
          <w:rFonts w:ascii="Arial" w:cs="Arial" w:eastAsia="Arial" w:hAnsi="Arial"/>
          <w:sz w:val="22"/>
          <w:szCs w:val="22"/>
        </w:rPr>
        <w:t xml:space="preserve">Haven is a 30-module ALF operations platform being built for Circle of Life (COL) as its pilot operator. This report is the result of a comprehensive cross-reference between: (1) the full Haven spec library in docs/specs/, and (2) the 380-file Circle of Life Wiki — which contains real operational records, vendor contracts, HR forms, audit tools, financial data, and brand documentation spanning 5 facilities across North Florida.</w:t>
      </w:r>
    </w:p>
    <w:p>
      <w:pPr>
        <w:spacing w:after="80" w:before="80"/>
      </w:pPr>
      <w:r>
        <w:t xml:space="preserve"/>
      </w:r>
    </w:p>
    <w:p>
      <w:pPr>
        <w:spacing w:after="120" w:before="60"/>
      </w:pPr>
      <w:r>
        <w:rPr>
          <w:rFonts w:ascii="Arial" w:cs="Arial" w:eastAsia="Arial" w:hAnsi="Arial"/>
          <w:sz w:val="22"/>
          <w:szCs w:val="22"/>
        </w:rPr>
        <w:t xml:space="preserve">The analysis reveals a product that is architecturally strong at its core (11 modules fully spec'd, Phase 1 shipped, Phase 2 clinical modules built) but carrying three categories of risk:</w:t>
      </w:r>
    </w:p>
    <w:p>
      <w:pPr>
        <w:pStyle w:val="ListParagraph"/>
        <w:numPr>
          <w:ilvl w:val="0"/>
          <w:numId w:val="2"/>
        </w:numPr>
        <w:spacing w:after="40" w:before="40"/>
      </w:pPr>
      <w:r>
        <w:rPr>
          <w:rFonts w:ascii="Arial" w:cs="Arial" w:eastAsia="Arial" w:hAnsi="Arial"/>
          <w:sz w:val="22"/>
          <w:szCs w:val="22"/>
        </w:rPr>
        <w:t xml:space="preserve">Spec-to-reality misalignments: The specs were written as a generic ALF platform. COL's actual workflows differ in important ways — Baya medication outsourcing, DCF coordination, Form 1823 as a first-class object, active Medicaid MCO names, and Representative Payee management are all present in COL's operations but absent from the specs.</w:t>
      </w:r>
    </w:p>
    <w:p>
      <w:pPr>
        <w:pStyle w:val="ListParagraph"/>
        <w:numPr>
          <w:ilvl w:val="0"/>
          <w:numId w:val="2"/>
        </w:numPr>
        <w:spacing w:after="40" w:before="40"/>
      </w:pPr>
      <w:r>
        <w:rPr>
          <w:rFonts w:ascii="Arial" w:cs="Arial" w:eastAsia="Arial" w:hAnsi="Arial"/>
          <w:sz w:val="22"/>
          <w:szCs w:val="22"/>
        </w:rPr>
        <w:t xml:space="preserve">Wiki coverage gaps: The structured wiki/clinical, wiki/compliance, wiki/facility, wiki/family, wiki/resident-ops, and wiki/workforce directories are all empty. The actual operational documents exist in HR-Forms and Management folders but are not organized into the wiki structure. Build agents working from the wiki will find it nearly devoid of clinical content.</w:t>
      </w:r>
    </w:p>
    <w:p>
      <w:pPr>
        <w:pStyle w:val="ListParagraph"/>
        <w:numPr>
          <w:ilvl w:val="0"/>
          <w:numId w:val="2"/>
        </w:numPr>
        <w:spacing w:after="40" w:before="40"/>
      </w:pPr>
      <w:r>
        <w:rPr>
          <w:rFonts w:ascii="Arial" w:cs="Arial" w:eastAsia="Arial" w:hAnsi="Arial"/>
          <w:sz w:val="22"/>
          <w:szCs w:val="22"/>
        </w:rPr>
        <w:t xml:space="preserve">Missing COL source documents: 21 specific documents or datasets are needed from COL to properly configure or complete Haven modules. Five of these are CRITICAL (AHCA licenses, survey reports, infection control plan, resident rights documentation, open POCs) — without them, the compliance engine cannot be seeded with accurate baseline data.</w:t>
      </w:r>
    </w:p>
    <w:p>
      <w:pPr>
        <w:spacing w:after="80" w:before="80"/>
      </w:pPr>
      <w:r>
        <w:t xml:space="preserve"/>
      </w:r>
    </w:p>
    <w:p>
      <w:pPr>
        <w:spacing w:after="120" w:before="60"/>
      </w:pPr>
      <w:r>
        <w:rPr>
          <w:rFonts w:ascii="Arial" w:cs="Arial" w:eastAsia="Arial" w:hAnsi="Arial"/>
          <w:sz w:val="22"/>
          <w:szCs w:val="22"/>
        </w:rPr>
        <w:t xml:space="preserve">This report provides: a full spec status audit, wiki domain coverage assessment, a prioritized list of documents to collect from COL, and a list of spec misalignments to correct before the Oakridge pilot launch.</w:t>
      </w:r>
    </w:p>
    <w:p>
      <w:r>
        <w:br w:type="page"/>
      </w:r>
    </w:p>
    <w:p>
      <w:pPr>
        <w:pStyle w:val="Heading1"/>
        <w:spacing w:after="120" w:before="360"/>
      </w:pPr>
      <w:r>
        <w:rPr>
          <w:rFonts w:ascii="Arial" w:cs="Arial" w:eastAsia="Arial" w:hAnsi="Arial"/>
          <w:b/>
          <w:bCs/>
          <w:color w:val="1B2A4A"/>
          <w:sz w:val="32"/>
          <w:szCs w:val="32"/>
        </w:rPr>
        <w:t xml:space="preserve">Section 1 — Spec Status Audit</w:t>
      </w:r>
    </w:p>
    <w:p>
      <w:pPr>
        <w:pBdr>
          <w:bottom w:val="single" w:color="0D7A7A" w:sz="4" w:space="1"/>
        </w:pBdr>
        <w:spacing w:after="120" w:before="120"/>
      </w:pPr>
      <w:r>
        <w:t xml:space="preserve"/>
      </w:r>
    </w:p>
    <w:p>
      <w:pPr>
        <w:spacing w:after="120" w:before="60"/>
      </w:pPr>
      <w:r>
        <w:rPr>
          <w:rFonts w:ascii="Arial" w:cs="Arial" w:eastAsia="Arial" w:hAnsi="Arial"/>
          <w:sz w:val="22"/>
          <w:szCs w:val="22"/>
        </w:rPr>
        <w:t xml:space="preserve">Every spec in docs/specs/ was evaluated against three criteria: completeness (does it have DDL, RLS policies, API contracts, UI screens, and edge functions?), COL alignment (does it reflect COL's actual workflows and vendor relationships?), and build readiness (can an engineer execute from it today?).</w:t>
      </w:r>
    </w:p>
    <w:p>
      <w:pPr>
        <w:spacing w:after="80" w:before="80"/>
      </w:pPr>
      <w:r>
        <w:t xml:space="preserve"/>
      </w:r>
    </w:p>
    <w:p>
      <w:pPr>
        <w:spacing w:after="120" w:before="60"/>
      </w:pPr>
      <w:r>
        <w:rPr>
          <w:rFonts w:ascii="Arial" w:cs="Arial" w:eastAsia="Arial" w:hAnsi="Arial"/>
          <w:b/>
          <w:bCs/>
          <w:sz w:val="22"/>
          <w:szCs w:val="22"/>
        </w:rPr>
        <w:t xml:space="preserve">Status legend:</w:t>
      </w:r>
    </w:p>
    <w:p>
      <w:pPr>
        <w:pStyle w:val="ListParagraph"/>
        <w:numPr>
          <w:ilvl w:val="0"/>
          <w:numId w:val="2"/>
        </w:numPr>
        <w:spacing w:after="40" w:before="40"/>
      </w:pPr>
      <w:r>
        <w:rPr>
          <w:rFonts w:ascii="Arial" w:cs="Arial" w:eastAsia="Arial" w:hAnsi="Arial"/>
          <w:sz w:val="22"/>
          <w:szCs w:val="22"/>
        </w:rPr>
        <w:t xml:space="preserve">FULL — Complete spec. Has schema, RLS, API contracts, UI screens. Engineer can build from it today.</w:t>
      </w:r>
    </w:p>
    <w:p>
      <w:pPr>
        <w:pStyle w:val="ListParagraph"/>
        <w:numPr>
          <w:ilvl w:val="0"/>
          <w:numId w:val="2"/>
        </w:numPr>
        <w:spacing w:after="40" w:before="40"/>
      </w:pPr>
      <w:r>
        <w:rPr>
          <w:rFonts w:ascii="Arial" w:cs="Arial" w:eastAsia="Arial" w:hAnsi="Arial"/>
          <w:sz w:val="22"/>
          <w:szCs w:val="22"/>
        </w:rPr>
        <w:t xml:space="preserve">PARTIAL — Incomplete spec. Core schema present but API contracts, UI screens, or business rules sections are incomplete.</w:t>
      </w:r>
    </w:p>
    <w:p>
      <w:pPr>
        <w:pStyle w:val="ListParagraph"/>
        <w:numPr>
          <w:ilvl w:val="0"/>
          <w:numId w:val="2"/>
        </w:numPr>
        <w:spacing w:after="40" w:before="40"/>
      </w:pPr>
      <w:r>
        <w:rPr>
          <w:rFonts w:ascii="Arial" w:cs="Arial" w:eastAsia="Arial" w:hAnsi="Arial"/>
          <w:sz w:val="22"/>
          <w:szCs w:val="22"/>
        </w:rPr>
        <w:t xml:space="preserve">STUB — Skeleton only. Has table definitions but workflows, business rules, and UI are not designed.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760"/>
        <w:gridCol w:w="820"/>
        <w:gridCol w:w="880"/>
        <w:gridCol w:w="2200"/>
        <w:gridCol w:w="2140"/>
      </w:tblGrid>
      <w:tr>
        <w:trPr>
          <w:tblHeader/>
        </w:trPr>
        <w:tc>
          <w:tcPr>
            <w:tcW w:type="dxa" w:w="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8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Build State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Covered</w:t>
            </w:r>
          </w:p>
        </w:tc>
        <w:tc>
          <w:tcPr>
            <w:tcW w:type="dxa" w:w="21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Gaps / Misalignments</w:t>
            </w:r>
          </w:p>
        </w:tc>
      </w:tr>
      <w:tr>
        <w:tc>
          <w:tcPr>
            <w:tcW w:type="dxa" w:w="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00</w:t>
            </w:r>
          </w:p>
        </w:tc>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Foundation</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FULL</w:t>
            </w:r>
          </w:p>
        </w:tc>
        <w:tc>
          <w:tcPr>
            <w:tcW w:type="dxa" w:w="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Core shipped</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Multi-tenant schema, RBAC, audit framework</w:t>
            </w:r>
          </w:p>
        </w:tc>
        <w:tc>
          <w:tcPr>
            <w:tcW w:type="dxa" w:w="21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00-Reg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Foundation - Regulatory</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In progress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Jurisdiction-aware config, shift classification</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Full reporting automation deferred</w:t>
            </w:r>
          </w:p>
        </w:tc>
      </w:tr>
      <w:tr>
        <w:tc>
          <w:tcPr>
            <w:tcW w:type="dxa" w:w="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01</w:t>
            </w:r>
          </w:p>
        </w:tc>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Referral Inquiry</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In progress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CRM pipeline, HL7 ADT v2 lead intake</w:t>
            </w:r>
          </w:p>
        </w:tc>
        <w:tc>
          <w:tcPr>
            <w:tcW w:type="dxa" w:w="21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Full HL7 parser, Caring.com integration not named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02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Admissions - Move In</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In progress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Pre-admission workflow, rate assignment, bed holds</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Form 1823 not first-class; Rep. Payee/SSA not addressed</w:t>
            </w:r>
          </w:p>
        </w:tc>
      </w:tr>
      <w:tr>
        <w:tc>
          <w:tcPr>
            <w:tcW w:type="dxa" w:w="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03</w:t>
            </w:r>
          </w:p>
        </w:tc>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Resident Profile</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FULL</w:t>
            </w:r>
          </w:p>
        </w:tc>
        <w:tc>
          <w:tcPr>
            <w:tcW w:type="dxa" w:w="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Core shipped</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Resident master, care plan, assessment templates</w:t>
            </w:r>
          </w:p>
        </w:tc>
        <w:tc>
          <w:tcPr>
            <w:tcW w:type="dxa" w:w="21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Advanced assessment automation deferred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03-Adv</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Resident Profile - Advanced</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In progress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ISP task generation, acuity composite scoring</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Full AI prediction models deferred</w:t>
            </w:r>
          </w:p>
        </w:tc>
      </w:tr>
      <w:tr>
        <w:tc>
          <w:tcPr>
            <w:tcW w:type="dxa" w:w="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04</w:t>
            </w:r>
          </w:p>
        </w:tc>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Daily Operations</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FULL</w:t>
            </w:r>
          </w:p>
        </w:tc>
        <w:tc>
          <w:tcPr>
            <w:tcW w:type="dxa" w:w="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Core shipped</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eMAR, ADL logging, shift handoffs, activity sessions</w:t>
            </w:r>
          </w:p>
        </w:tc>
        <w:tc>
          <w:tcPr>
            <w:tcW w:type="dxa" w:w="21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Offline sync deferred to 04-Offline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04-Off</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Daily Operations - Offline</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STUB</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Pending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PWA offline queue schema</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Full conflict resolution deferred</w:t>
            </w:r>
          </w:p>
        </w:tc>
      </w:tr>
      <w:tr>
        <w:tc>
          <w:tcPr>
            <w:tcW w:type="dxa" w:w="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05</w:t>
            </w:r>
          </w:p>
        </w:tc>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Discharge - Transition</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In progress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Discharge planning, med reconciliation</w:t>
            </w:r>
          </w:p>
        </w:tc>
        <w:tc>
          <w:tcPr>
            <w:tcW w:type="dxa" w:w="21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EHR integration, DCF discharge notice not addressed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06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Medication Mgmt</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FULL</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Core shipped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Controlled substance lifecycle, error reporting, verbal orders</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Baya partnership integration not reflected</w:t>
            </w:r>
          </w:p>
        </w:tc>
      </w:tr>
      <w:tr>
        <w:tc>
          <w:tcPr>
            <w:tcW w:type="dxa" w:w="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07</w:t>
            </w:r>
          </w:p>
        </w:tc>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Incident Reporting</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FULL</w:t>
            </w:r>
          </w:p>
        </w:tc>
        <w:tc>
          <w:tcPr>
            <w:tcW w:type="dxa" w:w="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Core shipped</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Severity-based notification, AHCA reportability, post-fall protocol</w:t>
            </w:r>
          </w:p>
        </w:tc>
        <w:tc>
          <w:tcPr>
            <w:tcW w:type="dxa" w:w="21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08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Compliance Engine</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FULL</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Core shipped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Deficiency tracking, POC workflow, survey audit trail</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AHCA licenses &amp; current survey reports not ingested</w:t>
            </w:r>
          </w:p>
        </w:tc>
      </w:tr>
      <w:tr>
        <w:tc>
          <w:tcPr>
            <w:tcW w:type="dxa" w:w="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09</w:t>
            </w:r>
          </w:p>
        </w:tc>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Infection Control</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FULL</w:t>
            </w:r>
          </w:p>
        </w:tc>
        <w:tc>
          <w:tcPr>
            <w:tcW w:type="dxa" w:w="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Core shipped</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Outbreak management, vital sign alerting, staff illness registry</w:t>
            </w:r>
          </w:p>
        </w:tc>
        <w:tc>
          <w:tcPr>
            <w:tcW w:type="dxa" w:w="21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COVID P&amp;P outdated in wiki (July 2021)</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Quality Metrics</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In progress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CMS measure calculation, PBJ tracking</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Benchmark comparisons, MCO-specific reporting deferred</w:t>
            </w:r>
          </w:p>
        </w:tc>
      </w:tr>
      <w:tr>
        <w:tc>
          <w:tcPr>
            <w:tcW w:type="dxa" w:w="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11</w:t>
            </w:r>
          </w:p>
        </w:tc>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Staff Management</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FULL</w:t>
            </w:r>
          </w:p>
        </w:tc>
        <w:tc>
          <w:tcPr>
            <w:tcW w:type="dxa" w:w="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Core shipped</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Certification expiration, GPS clock-in, ratio compliance</w:t>
            </w:r>
          </w:p>
        </w:tc>
        <w:tc>
          <w:tcPr>
            <w:tcW w:type="dxa" w:w="21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Baya training competency not in credential model</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12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Training &amp; Competency</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STUB</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Pending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Competency tracking schema only</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Baya program, FL mandatory training reqs not spec'd</w:t>
            </w:r>
          </w:p>
        </w:tc>
      </w:tr>
      <w:tr>
        <w:tc>
          <w:tcPr>
            <w:tcW w:type="dxa" w:w="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13</w:t>
            </w:r>
          </w:p>
        </w:tc>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Payroll Integration</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STUB</w:t>
            </w:r>
          </w:p>
        </w:tc>
        <w:tc>
          <w:tcPr>
            <w:tcW w:type="dxa" w:w="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Pending</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Export batch schema</w:t>
            </w:r>
          </w:p>
        </w:tc>
        <w:tc>
          <w:tcPr>
            <w:tcW w:type="dxa" w:w="21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All vendor connectors deferred; no COL payroll vendor named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14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Dietary &amp; Nutrition</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STUB</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Pending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Diet order &amp; texture constraint schema</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HACCP compliance, COL food service forms not integrated</w:t>
            </w:r>
          </w:p>
        </w:tc>
      </w:tr>
      <w:tr>
        <w:tc>
          <w:tcPr>
            <w:tcW w:type="dxa" w:w="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15</w:t>
            </w:r>
          </w:p>
        </w:tc>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Transportation</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STUB</w:t>
            </w:r>
          </w:p>
        </w:tc>
        <w:tc>
          <w:tcPr>
            <w:tcW w:type="dxa" w:w="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Pending</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Fleet/driver schema</w:t>
            </w:r>
          </w:p>
        </w:tc>
        <w:tc>
          <w:tcPr>
            <w:tcW w:type="dxa" w:w="21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Mileage tracking, driver credential model incomplete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16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Billing &amp; Collections</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FULL</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Core shipped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Invoice generation, A/R aging, multi-payer support</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Actual MCO names (FCC, Sunshine, Humana, WellCare, UHC) not named</w:t>
            </w:r>
          </w:p>
        </w:tc>
      </w:tr>
      <w:tr>
        <w:tc>
          <w:tcPr>
            <w:tcW w:type="dxa" w:w="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17</w:t>
            </w:r>
          </w:p>
        </w:tc>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Entity Finance</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In progress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Double-entry GL per entity</w:t>
            </w:r>
          </w:p>
        </w:tc>
        <w:tc>
          <w:tcPr>
            <w:tcW w:type="dxa" w:w="21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Budget-to-actual, auto-posting from invoices deferred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18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Insurance &amp; Risk</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In progress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Policy management, claims tracking, workers comp</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COL's actual carriers unknown — not in wiki</w:t>
            </w:r>
          </w:p>
        </w:tc>
      </w:tr>
      <w:tr>
        <w:tc>
          <w:tcPr>
            <w:tcW w:type="dxa" w:w="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19</w:t>
            </w:r>
          </w:p>
        </w:tc>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Vendor Management</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In progress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PO/invoice/receipt matching, vendor scorecard</w:t>
            </w:r>
          </w:p>
        </w:tc>
        <w:tc>
          <w:tcPr>
            <w:tcW w:type="dxa" w:w="21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COL's 50+ actual vendors not referenced in spec</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21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Family Portal</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In progress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Consent records, message triage, care conferences</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Family handbook/grievance procedures weak in wiki</w:t>
            </w:r>
          </w:p>
        </w:tc>
      </w:tr>
      <w:tr>
        <w:tc>
          <w:tcPr>
            <w:tcW w:type="dxa" w:w="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22</w:t>
            </w:r>
          </w:p>
        </w:tc>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Referral CRM</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STUB</w:t>
            </w:r>
          </w:p>
        </w:tc>
        <w:tc>
          <w:tcPr>
            <w:tcW w:type="dxa" w:w="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Pending</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HL7 inbound queue</w:t>
            </w:r>
          </w:p>
        </w:tc>
        <w:tc>
          <w:tcPr>
            <w:tcW w:type="dxa" w:w="21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Caring.com contract exists but not named; full ADT parsing deferred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23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Reputation</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STUB</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Pending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Review account &amp; reply schema</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No COL social/review platform presence documented</w:t>
            </w:r>
          </w:p>
        </w:tc>
      </w:tr>
      <w:tr>
        <w:tc>
          <w:tcPr>
            <w:tcW w:type="dxa" w:w="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24</w:t>
            </w:r>
          </w:p>
        </w:tc>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Executive Intelligence</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FULL</w:t>
            </w:r>
          </w:p>
        </w:tc>
        <w:tc>
          <w:tcPr>
            <w:tcW w:type="dxa" w:w="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Core shipped</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KPI command center, benchmarking, alert scoring</w:t>
            </w:r>
          </w:p>
        </w:tc>
        <w:tc>
          <w:tcPr>
            <w:tcW w:type="dxa" w:w="21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NLQ, scenario modeling deferred to v2</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24-v2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Executive Intelligence v2</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STUB</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Pending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NLQ session schema</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Full NLQ engine deferred</w:t>
            </w:r>
          </w:p>
        </w:tc>
      </w:tr>
      <w:tr>
        <w:tc>
          <w:tcPr>
            <w:tcW w:type="dxa" w:w="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25</w:t>
            </w:r>
          </w:p>
        </w:tc>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Resident Assurance Engine</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In progress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Mobile rounding workflow, observation task generation</w:t>
            </w:r>
          </w:p>
        </w:tc>
        <w:tc>
          <w:tcPr>
            <w:tcW w:type="dxa" w:w="21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Escalation automation, offline sync deferred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26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Reporting Module</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STUB</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5D6D7E"/>
                <w:sz w:val="20"/>
                <w:szCs w:val="20"/>
              </w:rPr>
              <w:t xml:space="preserve">Pending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Template/schedule/export schema</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Pack PDF assembly, delivery channels deferred</w:t>
            </w:r>
          </w:p>
        </w:tc>
      </w:tr>
    </w:tbl>
    <w:p>
      <w:r>
        <w:br w:type="page"/>
      </w:r>
    </w:p>
    <w:p>
      <w:pPr>
        <w:pStyle w:val="Heading1"/>
        <w:spacing w:after="120" w:before="360"/>
      </w:pPr>
      <w:r>
        <w:rPr>
          <w:rFonts w:ascii="Arial" w:cs="Arial" w:eastAsia="Arial" w:hAnsi="Arial"/>
          <w:b/>
          <w:bCs/>
          <w:color w:val="1B2A4A"/>
          <w:sz w:val="32"/>
          <w:szCs w:val="32"/>
        </w:rPr>
        <w:t xml:space="preserve">Section 2 — Wiki Domain Coverage</w:t>
      </w:r>
    </w:p>
    <w:p>
      <w:pPr>
        <w:pBdr>
          <w:bottom w:val="single" w:color="0D7A7A" w:sz="4" w:space="1"/>
        </w:pBdr>
        <w:spacing w:after="120" w:before="120"/>
      </w:pPr>
      <w:r>
        <w:t xml:space="preserve"/>
      </w:r>
    </w:p>
    <w:p>
      <w:pPr>
        <w:spacing w:after="120" w:before="60"/>
      </w:pPr>
      <w:r>
        <w:rPr>
          <w:rFonts w:ascii="Arial" w:cs="Arial" w:eastAsia="Arial" w:hAnsi="Arial"/>
          <w:sz w:val="22"/>
          <w:szCs w:val="22"/>
        </w:rPr>
        <w:t xml:space="preserve">The Circle of Life Wiki is structured into 8 operational domains. This section documents what is actually present vs. what is needed for each domain. The key finding: the structured wiki/ subfolder is almost entirely empty, while the actual operational knowledge exists in HR-Forms, Management, and root-level folders — unsorted and not cross-referenced to Haven modules.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3680"/>
        <w:gridCol w:w="338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Coverage</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Exists</w:t>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What's Missing</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Admin / Brand</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STRONG</w:t>
            </w:r>
          </w:p>
        </w:tc>
        <w:tc>
          <w:tcPr>
            <w:tcW w:type="dxa" w:w="3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Brand guide (full): voice, tone, visual system, accessibility. Logo, typography, color palette, photography, signage, digital standards.</w:t>
            </w:r>
          </w:p>
        </w:tc>
        <w:tc>
          <w:tcPr>
            <w:tcW w:type="dxa" w:w="33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Corporate &amp; organizational subfolders empty.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Clinical</w:t>
            </w:r>
          </w:p>
        </w:tc>
        <w:tc>
          <w:tcPr>
            <w:tcW w:type="dxa" w:w="1400"/>
            <w:tcBorders>
              <w:top w:val="single" w:color="CCCCCC" w:sz="1"/>
              <w:left w:val="single" w:color="CCCCCC" w:sz="1"/>
              <w:bottom w:val="single" w:color="CCCCCC" w:sz="1"/>
              <w:right w:val="single" w:color="CCCCCC" w:sz="1"/>
            </w:tcBorders>
            <w:shd w:fill="C996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WEAK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Medication forms (MAR, narcotic log, disposal logs, physician order form). Incident forms (elopement, medication error, grievance). Form 1823 tracker.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NO files in wiki/clinical/ — all docs scattered in HR-Forms. Health assessments, infection control plan, physician order log not wikified.</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Compliance</w:t>
            </w:r>
          </w:p>
        </w:tc>
        <w:tc>
          <w:tcPr>
            <w:tcW w:type="dxa" w:w="1400"/>
            <w:tcBorders>
              <w:top w:val="single" w:color="CCCCCC" w:sz="1"/>
              <w:left w:val="single" w:color="CCCCCC" w:sz="1"/>
              <w:bottom w:val="single" w:color="CCCCCC" w:sz="1"/>
              <w:right w:val="single" w:color="CCCCCC" w:sz="1"/>
            </w:tcBorders>
            <w:shd w:fill="C996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WEAK</w:t>
            </w:r>
          </w:p>
        </w:tc>
        <w:tc>
          <w:tcPr>
            <w:tcW w:type="dxa" w:w="3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Audit tools: Form 1823 audit, Master QA tool, Full Audit, Follow-up Audit, Employee/Resident file checklists. COVID P&amp;P (Jul 2021).</w:t>
            </w:r>
          </w:p>
        </w:tc>
        <w:tc>
          <w:tcPr>
            <w:tcW w:type="dxa" w:w="33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NO files in wiki/compliance/ — AHCA licenses, survey reports, POCs, CEMP not present anywhere in wiki.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Facility Ops</w:t>
            </w:r>
          </w:p>
        </w:tc>
        <w:tc>
          <w:tcPr>
            <w:tcW w:type="dxa" w:w="1400"/>
            <w:tcBorders>
              <w:top w:val="single" w:color="CCCCCC" w:sz="1"/>
              <w:left w:val="single" w:color="CCCCCC" w:sz="1"/>
              <w:bottom w:val="single" w:color="CCCCCC" w:sz="1"/>
              <w:right w:val="single" w:color="CCCCCC" w:sz="1"/>
            </w:tcBorders>
            <w:shd w:fill="C996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WEAK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Food service: HACCP forms, temp logs, meal logs, hand washing/storage charts. Emergency plans: CEMP criteria, evacuation plans. Safety: fire/elopement/emergency drill forms.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NO files in wiki/facility/ — activity logs, housekeeping logs, maintenance work orders not wikified.</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Family &amp; Community</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w:t>
            </w:r>
          </w:p>
        </w:tc>
        <w:tc>
          <w:tcPr>
            <w:tcW w:type="dxa" w:w="3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Brand guide voice/tone standards for family-facing communication only.</w:t>
            </w:r>
          </w:p>
        </w:tc>
        <w:tc>
          <w:tcPr>
            <w:tcW w:type="dxa" w:w="33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Family handbook, welcome packet, resident rights, grievance procedures, marketing brochures — NONE present.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Financial</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STRONG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A/R by facility: 5 years (2019–2026). Vendor contracts: 50+ service agreements. Medicaid contracts: 5–6 MCO contracts per facility (FCC, Sunshine, Humana, WellCare, UHC). Statement of accounts. Mileage report. Petty cash log.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wiki/financial/ is empty. Rate schedules (private-pay rates by care level, by facility) not found. Annual budgets not present.</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Resident Ops</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MODERATE</w:t>
            </w:r>
          </w:p>
        </w:tc>
        <w:tc>
          <w:tcPr>
            <w:tcW w:type="dxa" w:w="3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Admission agreements (facility-specific: HW, OR, RO, GC). Pre-Admission Questionnaire. Admit &amp; Discharge Log. Care Plan Meeting Summary. Individual Service Plan template. Advance Directives / DNRO info. SSA-787 Rep. Payee forms.</w:t>
            </w:r>
          </w:p>
        </w:tc>
        <w:tc>
          <w:tcPr>
            <w:tcW w:type="dxa" w:w="33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wiki/resident-ops/ is empty. Standard ISP template not confirmed. Discharge planning forms not organized. Resident rights documentation absent.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Workforce</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MODERATE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Employee Handbook. Policies &amp; Procedures manual. Employment application &amp; interview guide. Orientation &amp; training sign-in. Employee evaluation &amp; PIP templates. Mileage/PTO/shift-swap forms. Background check tracking. Baya Medication Training curriculum (9 files, competency sign-offs).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A0392B"/>
                <w:sz w:val="20"/>
                <w:szCs w:val="20"/>
              </w:rPr>
              <w:t xml:space="preserve">wiki/workforce/ is empty. Staffing ratio targets by shift/facility not documented. Scheduling templates not found. Job descriptions not wikified.</w:t>
            </w:r>
          </w:p>
        </w:tc>
      </w:tr>
    </w:tbl>
    <w:p>
      <w:pPr>
        <w:spacing w:after="80" w:before="80"/>
      </w:pPr>
      <w:r>
        <w:t xml:space="preserve"/>
      </w:r>
    </w:p>
    <w:p>
      <w:pPr>
        <w:pStyle w:val="Heading2"/>
        <w:spacing w:after="80" w:before="280"/>
      </w:pPr>
      <w:r>
        <w:rPr>
          <w:rFonts w:ascii="Arial" w:cs="Arial" w:eastAsia="Arial" w:hAnsi="Arial"/>
          <w:b/>
          <w:bCs/>
          <w:color w:val="0D7A7A"/>
          <w:sz w:val="26"/>
          <w:szCs w:val="26"/>
        </w:rPr>
        <w:t xml:space="preserve">What the Wiki Does Well</w:t>
      </w:r>
    </w:p>
    <w:p>
      <w:pPr>
        <w:pStyle w:val="ListParagraph"/>
        <w:numPr>
          <w:ilvl w:val="0"/>
          <w:numId w:val="2"/>
        </w:numPr>
        <w:spacing w:after="40" w:before="40"/>
      </w:pPr>
      <w:r>
        <w:rPr>
          <w:rFonts w:ascii="Arial" w:cs="Arial" w:eastAsia="Arial" w:hAnsi="Arial"/>
          <w:sz w:val="22"/>
          <w:szCs w:val="22"/>
        </w:rPr>
        <w:t xml:space="preserve">Financial tracking: 5+ years of A/R data across all 5 facilities. Monthly reconciliation at facility level. Medicaid MCO contracts (5–6 per facility). Vendor service contracts (50+).</w:t>
      </w:r>
    </w:p>
    <w:p>
      <w:pPr>
        <w:pStyle w:val="ListParagraph"/>
        <w:numPr>
          <w:ilvl w:val="0"/>
          <w:numId w:val="2"/>
        </w:numPr>
        <w:spacing w:after="40" w:before="40"/>
      </w:pPr>
      <w:r>
        <w:rPr>
          <w:rFonts w:ascii="Arial" w:cs="Arial" w:eastAsia="Arial" w:hAnsi="Arial"/>
          <w:sz w:val="22"/>
          <w:szCs w:val="22"/>
        </w:rPr>
        <w:t xml:space="preserve">Operational forms: 54 daily operations forms covering medication, incidents, care documentation, food service, safety, and staff management. These represent COL's real workflows.</w:t>
      </w:r>
    </w:p>
    <w:p>
      <w:pPr>
        <w:pStyle w:val="ListParagraph"/>
        <w:numPr>
          <w:ilvl w:val="0"/>
          <w:numId w:val="2"/>
        </w:numPr>
        <w:spacing w:after="40" w:before="40"/>
      </w:pPr>
      <w:r>
        <w:rPr>
          <w:rFonts w:ascii="Arial" w:cs="Arial" w:eastAsia="Arial" w:hAnsi="Arial"/>
          <w:sz w:val="22"/>
          <w:szCs w:val="22"/>
        </w:rPr>
        <w:t xml:space="preserve">Compliance auditing: Master QA tool, Form 1823 audit, employee/resident file checklists. Documents what COL tracks, what audit findings are typical, and what file completeness standards are in place.</w:t>
      </w:r>
    </w:p>
    <w:p>
      <w:pPr>
        <w:pStyle w:val="ListParagraph"/>
        <w:numPr>
          <w:ilvl w:val="0"/>
          <w:numId w:val="2"/>
        </w:numPr>
        <w:spacing w:after="40" w:before="40"/>
      </w:pPr>
      <w:r>
        <w:rPr>
          <w:rFonts w:ascii="Arial" w:cs="Arial" w:eastAsia="Arial" w:hAnsi="Arial"/>
          <w:sz w:val="22"/>
          <w:szCs w:val="22"/>
        </w:rPr>
        <w:t xml:space="preserve">Brand identity: Complete brand guide with voice/tone for all communication contexts, visual system, photography standards, and accessibility requirements.</w:t>
      </w:r>
    </w:p>
    <w:p>
      <w:pPr>
        <w:spacing w:after="80" w:before="80"/>
      </w:pPr>
      <w:r>
        <w:t xml:space="preserve"/>
      </w:r>
    </w:p>
    <w:p>
      <w:pPr>
        <w:pStyle w:val="Heading2"/>
        <w:spacing w:after="80" w:before="280"/>
      </w:pPr>
      <w:r>
        <w:rPr>
          <w:rFonts w:ascii="Arial" w:cs="Arial" w:eastAsia="Arial" w:hAnsi="Arial"/>
          <w:b/>
          <w:bCs/>
          <w:color w:val="0D7A7A"/>
          <w:sz w:val="26"/>
          <w:szCs w:val="26"/>
        </w:rPr>
        <w:t xml:space="preserve">What the Wiki Is Missing</w:t>
      </w:r>
    </w:p>
    <w:p>
      <w:pPr>
        <w:pStyle w:val="ListParagraph"/>
        <w:numPr>
          <w:ilvl w:val="0"/>
          <w:numId w:val="2"/>
        </w:numPr>
        <w:spacing w:after="40" w:before="40"/>
      </w:pPr>
      <w:r>
        <w:rPr>
          <w:rFonts w:ascii="Arial" w:cs="Arial" w:eastAsia="Arial" w:hAnsi="Arial"/>
          <w:sz w:val="22"/>
          <w:szCs w:val="22"/>
        </w:rPr>
        <w:t xml:space="preserve">CRITICAL: wiki/clinical/ is entirely empty. Clinical operations are the core of Haven (Modules 03–10). Forms exist in HR-Forms but are not wikified.</w:t>
      </w:r>
    </w:p>
    <w:p>
      <w:pPr>
        <w:pStyle w:val="ListParagraph"/>
        <w:numPr>
          <w:ilvl w:val="0"/>
          <w:numId w:val="2"/>
        </w:numPr>
        <w:spacing w:after="40" w:before="40"/>
      </w:pPr>
      <w:r>
        <w:rPr>
          <w:rFonts w:ascii="Arial" w:cs="Arial" w:eastAsia="Arial" w:hAnsi="Arial"/>
          <w:sz w:val="22"/>
          <w:szCs w:val="22"/>
        </w:rPr>
        <w:t xml:space="preserve">CRITICAL: wiki/compliance/ is entirely empty. AHCA licenses, survey reports, POCs, and emergency plans are nowhere in the wiki.</w:t>
      </w:r>
    </w:p>
    <w:p>
      <w:pPr>
        <w:pStyle w:val="ListParagraph"/>
        <w:numPr>
          <w:ilvl w:val="0"/>
          <w:numId w:val="2"/>
        </w:numPr>
        <w:spacing w:after="40" w:before="40"/>
      </w:pPr>
      <w:r>
        <w:rPr>
          <w:rFonts w:ascii="Arial" w:cs="Arial" w:eastAsia="Arial" w:hAnsi="Arial"/>
          <w:sz w:val="22"/>
          <w:szCs w:val="22"/>
        </w:rPr>
        <w:t xml:space="preserve">HIGH: wiki/resident-ops/ is empty. Admission agreements exist in HR-Forms/New Hire &amp; New Admission but are not organized.</w:t>
      </w:r>
    </w:p>
    <w:p>
      <w:pPr>
        <w:pStyle w:val="ListParagraph"/>
        <w:numPr>
          <w:ilvl w:val="0"/>
          <w:numId w:val="2"/>
        </w:numPr>
        <w:spacing w:after="40" w:before="40"/>
      </w:pPr>
      <w:r>
        <w:rPr>
          <w:rFonts w:ascii="Arial" w:cs="Arial" w:eastAsia="Arial" w:hAnsi="Arial"/>
          <w:sz w:val="22"/>
          <w:szCs w:val="22"/>
        </w:rPr>
        <w:t xml:space="preserve">HIGH: wiki/workforce/ is empty despite HR forms being extensive. No job descriptions, scheduling templates, or staffing ratio documents.</w:t>
      </w:r>
    </w:p>
    <w:p>
      <w:pPr>
        <w:pStyle w:val="ListParagraph"/>
        <w:numPr>
          <w:ilvl w:val="0"/>
          <w:numId w:val="2"/>
        </w:numPr>
        <w:spacing w:after="40" w:before="40"/>
      </w:pPr>
      <w:r>
        <w:rPr>
          <w:rFonts w:ascii="Arial" w:cs="Arial" w:eastAsia="Arial" w:hAnsi="Arial"/>
          <w:sz w:val="22"/>
          <w:szCs w:val="22"/>
        </w:rPr>
        <w:t xml:space="preserve">MEDIUM: wiki/family/ contains nothing. No family handbook, resident rights, or grievance procedures are documented.</w:t>
      </w:r>
    </w:p>
    <w:p>
      <w:r>
        <w:br w:type="page"/>
      </w:r>
    </w:p>
    <w:p>
      <w:pPr>
        <w:pStyle w:val="Heading1"/>
        <w:spacing w:after="120" w:before="360"/>
      </w:pPr>
      <w:r>
        <w:rPr>
          <w:rFonts w:ascii="Arial" w:cs="Arial" w:eastAsia="Arial" w:hAnsi="Arial"/>
          <w:b/>
          <w:bCs/>
          <w:color w:val="1B2A4A"/>
          <w:sz w:val="32"/>
          <w:szCs w:val="32"/>
        </w:rPr>
        <w:t xml:space="preserve">Section 3 — Documents &amp; Data Needed from COL</w:t>
      </w:r>
    </w:p>
    <w:p>
      <w:pPr>
        <w:pBdr>
          <w:bottom w:val="single" w:color="0D7A7A" w:sz="4" w:space="1"/>
        </w:pBdr>
        <w:spacing w:after="120" w:before="120"/>
      </w:pPr>
      <w:r>
        <w:t xml:space="preserve"/>
      </w:r>
    </w:p>
    <w:p>
      <w:pPr>
        <w:spacing w:after="120" w:before="60"/>
      </w:pPr>
      <w:r>
        <w:rPr>
          <w:rFonts w:ascii="Arial" w:cs="Arial" w:eastAsia="Arial" w:hAnsi="Arial"/>
          <w:sz w:val="22"/>
          <w:szCs w:val="22"/>
        </w:rPr>
        <w:t xml:space="preserve">The following 21 items must be collected from Circle of Life before the Oakridge ALF pilot launch. Items are sorted by priority. CRITICAL items block specific Haven modules from launching correctly. HIGH items will cause operational gaps or compliance risk if absent at launch.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40"/>
        <w:gridCol w:w="2840"/>
        <w:gridCol w:w="3080"/>
        <w:gridCol w:w="2500"/>
      </w:tblGrid>
      <w:tr>
        <w:trPr>
          <w:tblHeader/>
        </w:trPr>
        <w:tc>
          <w:tcPr>
            <w:tcW w:type="dxa" w:w="9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 / Data Needed</w:t>
            </w:r>
          </w:p>
        </w:tc>
        <w:tc>
          <w:tcPr>
            <w:tcW w:type="dxa" w:w="3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It's Needed</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Module(s) Blocked</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2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Current AHCA licenses for all 5 facilities</w:t>
            </w:r>
          </w:p>
        </w:tc>
        <w:tc>
          <w:tcPr>
            <w:tcW w:type="dxa" w:w="3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Required to verify legal operating authority; seed data for compliance engine.</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1B2A4A"/>
                <w:sz w:val="20"/>
                <w:szCs w:val="20"/>
              </w:rPr>
              <w:t xml:space="preserve">Module 08 Compliance Engine seed data</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Most recent AHCA survey reports (SODs) for all 5 facilities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Deficiency history is core dataset for compliance scoring baseline.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B2A4A"/>
                <w:sz w:val="20"/>
                <w:szCs w:val="20"/>
              </w:rPr>
              <w:t xml:space="preserve">Module 08 — cannot score without history</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2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Open Plans of Correction (if any)</w:t>
            </w:r>
          </w:p>
        </w:tc>
        <w:tc>
          <w:tcPr>
            <w:tcW w:type="dxa" w:w="3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Active POCs must be ingested at platform launch to avoid compliance blind spots.</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1B2A4A"/>
                <w:sz w:val="20"/>
                <w:szCs w:val="20"/>
              </w:rPr>
              <w:t xml:space="preserve">Module 08 POC workflow</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Formal Infection Control Plan (facility-level)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FL §429.41 requires written plan. Haven's outbreak detection must align with 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B2A4A"/>
                <w:sz w:val="20"/>
                <w:szCs w:val="20"/>
              </w:rPr>
              <w:t xml:space="preserve">Module 09 — outbreak thresholds &amp; procedures</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2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Resident Rights documentation (FL §429.28)</w:t>
            </w:r>
          </w:p>
        </w:tc>
        <w:tc>
          <w:tcPr>
            <w:tcW w:type="dxa" w:w="3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Required by AHCA. Family portal and admission workflows reference this.</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1B2A4A"/>
                <w:sz w:val="20"/>
                <w:szCs w:val="20"/>
              </w:rPr>
              <w:t xml:space="preserve">Modules 02, 21</w:t>
            </w:r>
          </w:p>
        </w:tc>
      </w:tr>
      <w:tr>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Current rate schedules — private-pay rates by care level per facility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Needed to configure rate_schedules table and invoice automation correctly.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B2A4A"/>
                <w:sz w:val="20"/>
                <w:szCs w:val="20"/>
              </w:rPr>
              <w:t xml:space="preserve">Module 16 Billing — cannot auto-invoice without rates</w:t>
            </w:r>
          </w:p>
        </w:tc>
      </w:tr>
      <w:tr>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2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Comprehensive Emergency Management Plans (CEMP) for all 5 facilities</w:t>
            </w:r>
          </w:p>
        </w:tc>
        <w:tc>
          <w:tcPr>
            <w:tcW w:type="dxa" w:w="3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CEMP is required by FL §429.41. Emergency plan module and drill tracking need this.</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1B2A4A"/>
                <w:sz w:val="20"/>
                <w:szCs w:val="20"/>
              </w:rPr>
              <w:t xml:space="preserve">Modules 09, facility ops workflows</w:t>
            </w:r>
          </w:p>
        </w:tc>
      </w:tr>
      <w:tr>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Individual Service Plan (ISP) standard template / section structure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ISP is the core deliverable of Module 03. Template must match COL's actual format to be accepted by staff.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B2A4A"/>
                <w:sz w:val="20"/>
                <w:szCs w:val="20"/>
              </w:rPr>
              <w:t xml:space="preserve">Module 03 care plan items schema</w:t>
            </w:r>
          </w:p>
        </w:tc>
      </w:tr>
      <w:tr>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2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Formal admission agreement template — standard version</w:t>
            </w:r>
          </w:p>
        </w:tc>
        <w:tc>
          <w:tcPr>
            <w:tcW w:type="dxa" w:w="3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02 admission workflow must capture all required COL consent elements.</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1B2A4A"/>
                <w:sz w:val="20"/>
                <w:szCs w:val="20"/>
              </w:rPr>
              <w:t xml:space="preserve">Module 02</w:t>
            </w:r>
          </w:p>
        </w:tc>
      </w:tr>
      <w:tr>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COL's payroll processor / vendor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13 payroll export cannot be built without knowing the target system (ADP, Paychex, QuickBooks Payroll, etc.).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B2A4A"/>
                <w:sz w:val="20"/>
                <w:szCs w:val="20"/>
              </w:rPr>
              <w:t xml:space="preserve">Module 13 — entire spec depends on this</w:t>
            </w:r>
          </w:p>
        </w:tc>
      </w:tr>
      <w:tr>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2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COL's commercial insurance carriers (general liability, professional liability, workers' comp)</w:t>
            </w:r>
          </w:p>
        </w:tc>
        <w:tc>
          <w:tcPr>
            <w:tcW w:type="dxa" w:w="3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18 insurance policy management needs carrier names, policy numbers, renewal dates.</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1B2A4A"/>
                <w:sz w:val="20"/>
                <w:szCs w:val="20"/>
              </w:rPr>
              <w:t xml:space="preserve">Module 18</w:t>
            </w:r>
          </w:p>
        </w:tc>
      </w:tr>
      <w:tr>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Current annual budgets by facility or entity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17 finance module needs budget-to-actual variance reporting. No budget data in wiki.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B2A4A"/>
                <w:sz w:val="20"/>
                <w:szCs w:val="20"/>
              </w:rPr>
              <w:t xml:space="preserve">Module 17</w:t>
            </w:r>
          </w:p>
        </w:tc>
      </w:tr>
      <w:tr>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2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Discharge planning forms &amp; procedures</w:t>
            </w:r>
          </w:p>
        </w:tc>
        <w:tc>
          <w:tcPr>
            <w:tcW w:type="dxa" w:w="3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05 discharge workflow must match COL's actual process. DCF discharge notice (Form 2506) usage needs confirmation.</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1B2A4A"/>
                <w:sz w:val="20"/>
                <w:szCs w:val="20"/>
              </w:rPr>
              <w:t xml:space="preserve">Module 05</w:t>
            </w:r>
          </w:p>
        </w:tc>
      </w:tr>
      <w:tr>
        <w:tc>
          <w:tcPr>
            <w:tcW w:type="dxa" w:w="1400"/>
            <w:tcBorders>
              <w:top w:val="single" w:color="CCCCCC" w:sz="1"/>
              <w:left w:val="single" w:color="CCCCCC" w:sz="1"/>
              <w:bottom w:val="single" w:color="CCCCCC" w:sz="1"/>
              <w:right w:val="single" w:color="CCCCCC" w:sz="1"/>
            </w:tcBorders>
            <w:shd w:fill="C996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Activity calendar template / format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04 activity sessions need to match COL's planning structure.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B2A4A"/>
                <w:sz w:val="20"/>
                <w:szCs w:val="20"/>
              </w:rPr>
              <w:t xml:space="preserve">Module 04 activities</w:t>
            </w:r>
          </w:p>
        </w:tc>
      </w:tr>
      <w:tr>
        <w:tc>
          <w:tcPr>
            <w:tcW w:type="dxa" w:w="1400"/>
            <w:tcBorders>
              <w:top w:val="single" w:color="CCCCCC" w:sz="1"/>
              <w:left w:val="single" w:color="CCCCCC" w:sz="1"/>
              <w:bottom w:val="single" w:color="CCCCCC" w:sz="1"/>
              <w:right w:val="single" w:color="CCCCCC" w:sz="1"/>
            </w:tcBorders>
            <w:shd w:fill="C996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2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Family handbook / welcome packet current version</w:t>
            </w:r>
          </w:p>
        </w:tc>
        <w:tc>
          <w:tcPr>
            <w:tcW w:type="dxa" w:w="3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21 family portal content and Module 02 onboarding flow need this.</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1B2A4A"/>
                <w:sz w:val="20"/>
                <w:szCs w:val="20"/>
              </w:rPr>
              <w:t xml:space="preserve">Modules 02, 21</w:t>
            </w:r>
          </w:p>
        </w:tc>
      </w:tr>
      <w:tr>
        <w:tc>
          <w:tcPr>
            <w:tcW w:type="dxa" w:w="1400"/>
            <w:tcBorders>
              <w:top w:val="single" w:color="CCCCCC" w:sz="1"/>
              <w:left w:val="single" w:color="CCCCCC" w:sz="1"/>
              <w:bottom w:val="single" w:color="CCCCCC" w:sz="1"/>
              <w:right w:val="single" w:color="CCCCCC" w:sz="1"/>
            </w:tcBorders>
            <w:shd w:fill="C996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Staffing ratio targets by facility and shift type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11 staffing ratio snapshots need the correct thresholds per FL AHCA rules per facility category.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B2A4A"/>
                <w:sz w:val="20"/>
                <w:szCs w:val="20"/>
              </w:rPr>
              <w:t xml:space="preserve">Module 11</w:t>
            </w:r>
          </w:p>
        </w:tc>
      </w:tr>
      <w:tr>
        <w:tc>
          <w:tcPr>
            <w:tcW w:type="dxa" w:w="1400"/>
            <w:tcBorders>
              <w:top w:val="single" w:color="CCCCCC" w:sz="1"/>
              <w:left w:val="single" w:color="CCCCCC" w:sz="1"/>
              <w:bottom w:val="single" w:color="CCCCCC" w:sz="1"/>
              <w:right w:val="single" w:color="CCCCCC" w:sz="1"/>
            </w:tcBorders>
            <w:shd w:fill="C996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2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Job descriptions for all positions</w:t>
            </w:r>
          </w:p>
        </w:tc>
        <w:tc>
          <w:tcPr>
            <w:tcW w:type="dxa" w:w="3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11 staff management and Module 12 training/competency assignment need role definitions.</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1B2A4A"/>
                <w:sz w:val="20"/>
                <w:szCs w:val="20"/>
              </w:rPr>
              <w:t xml:space="preserve">Modules 11, 12</w:t>
            </w:r>
          </w:p>
        </w:tc>
      </w:tr>
      <w:tr>
        <w:tc>
          <w:tcPr>
            <w:tcW w:type="dxa" w:w="1400"/>
            <w:tcBorders>
              <w:top w:val="single" w:color="CCCCCC" w:sz="1"/>
              <w:left w:val="single" w:color="CCCCCC" w:sz="1"/>
              <w:bottom w:val="single" w:color="CCCCCC" w:sz="1"/>
              <w:right w:val="single" w:color="CCCCCC" w:sz="1"/>
            </w:tcBorders>
            <w:shd w:fill="C996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Baya medication training contract / curriculum scope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12 must track Baya as an external training program with completion certificates.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B2A4A"/>
                <w:sz w:val="20"/>
                <w:szCs w:val="20"/>
              </w:rPr>
              <w:t xml:space="preserve">Module 12</w:t>
            </w:r>
          </w:p>
        </w:tc>
      </w:tr>
      <w:tr>
        <w:tc>
          <w:tcPr>
            <w:tcW w:type="dxa" w:w="1400"/>
            <w:tcBorders>
              <w:top w:val="single" w:color="CCCCCC" w:sz="1"/>
              <w:left w:val="single" w:color="CCCCCC" w:sz="1"/>
              <w:bottom w:val="single" w:color="CCCCCC" w:sz="1"/>
              <w:right w:val="single" w:color="CCCCCC" w:sz="1"/>
            </w:tcBorders>
            <w:shd w:fill="C996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2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Grievance procedure &amp; complaint log format</w:t>
            </w:r>
          </w:p>
        </w:tc>
        <w:tc>
          <w:tcPr>
            <w:tcW w:type="dxa" w:w="3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07 (incident/grievance) and Module 21 (family portal) need COL's formal grievance process.</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1B2A4A"/>
                <w:sz w:val="20"/>
                <w:szCs w:val="20"/>
              </w:rPr>
              <w:t xml:space="preserve">Modules 07, 21</w:t>
            </w:r>
          </w:p>
        </w:tc>
      </w:tr>
      <w:tr>
        <w:tc>
          <w:tcPr>
            <w:tcW w:type="dxa" w:w="1400"/>
            <w:tcBorders>
              <w:top w:val="single" w:color="CCCCCC" w:sz="1"/>
              <w:left w:val="single" w:color="CCCCCC" w:sz="1"/>
              <w:bottom w:val="single" w:color="CCCCCC" w:sz="1"/>
              <w:right w:val="single" w:color="CCCCCC" w:sz="1"/>
            </w:tcBorders>
            <w:shd w:fill="0D7A7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Social media accounts / review platforms (Google, Yelp, Caring.com profiles)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23 reputation management needs account credentials and current review history.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B2A4A"/>
                <w:sz w:val="20"/>
                <w:szCs w:val="20"/>
              </w:rPr>
              <w:t xml:space="preserve">Module 23</w:t>
            </w:r>
          </w:p>
        </w:tc>
      </w:tr>
      <w:tr>
        <w:tc>
          <w:tcPr>
            <w:tcW w:type="dxa" w:w="1400"/>
            <w:tcBorders>
              <w:top w:val="single" w:color="CCCCCC" w:sz="1"/>
              <w:left w:val="single" w:color="CCCCCC" w:sz="1"/>
              <w:bottom w:val="single" w:color="CCCCCC" w:sz="1"/>
              <w:right w:val="single" w:color="CCCCCC" w:sz="1"/>
            </w:tcBorders>
            <w:shd w:fill="0D7A7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2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222222"/>
                <w:sz w:val="20"/>
                <w:szCs w:val="20"/>
              </w:rPr>
              <w:t xml:space="preserve">Current mileage reimbursement rate and transportation policy</w:t>
            </w:r>
          </w:p>
        </w:tc>
        <w:tc>
          <w:tcPr>
            <w:tcW w:type="dxa" w:w="3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15 transportation spec needs COL's fleet details and reimbursement structure.</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1B2A4A"/>
                <w:sz w:val="20"/>
                <w:szCs w:val="20"/>
              </w:rPr>
              <w:t xml:space="preserve">Module 15</w:t>
            </w:r>
          </w:p>
        </w:tc>
      </w:tr>
    </w:tbl>
    <w:p>
      <w:pPr>
        <w:spacing w:after="80" w:before="80"/>
      </w:pPr>
      <w:r>
        <w:t xml:space="preserve"/>
      </w:r>
    </w:p>
    <w:p>
      <w:pPr>
        <w:pStyle w:val="Heading2"/>
        <w:spacing w:after="80" w:before="280"/>
      </w:pPr>
      <w:r>
        <w:rPr>
          <w:rFonts w:ascii="Arial" w:cs="Arial" w:eastAsia="Arial" w:hAnsi="Arial"/>
          <w:b/>
          <w:bCs/>
          <w:color w:val="0D7A7A"/>
          <w:sz w:val="26"/>
          <w:szCs w:val="26"/>
        </w:rPr>
        <w:t xml:space="preserve">Recommended Collection Process</w:t>
      </w:r>
    </w:p>
    <w:p>
      <w:pPr>
        <w:pStyle w:val="ListParagraph"/>
        <w:numPr>
          <w:ilvl w:val="0"/>
          <w:numId w:val="2"/>
        </w:numPr>
        <w:spacing w:after="40" w:before="40"/>
      </w:pPr>
      <w:r>
        <w:rPr>
          <w:rFonts w:ascii="Arial" w:cs="Arial" w:eastAsia="Arial" w:hAnsi="Arial"/>
          <w:sz w:val="22"/>
          <w:szCs w:val="22"/>
        </w:rPr>
        <w:t xml:space="preserve">Schedule a 2-hour document collection session with COL's administrator and compliance lead.</w:t>
      </w:r>
    </w:p>
    <w:p>
      <w:pPr>
        <w:pStyle w:val="ListParagraph"/>
        <w:numPr>
          <w:ilvl w:val="0"/>
          <w:numId w:val="2"/>
        </w:numPr>
        <w:spacing w:after="40" w:before="40"/>
      </w:pPr>
      <w:r>
        <w:rPr>
          <w:rFonts w:ascii="Arial" w:cs="Arial" w:eastAsia="Arial" w:hAnsi="Arial"/>
          <w:sz w:val="22"/>
          <w:szCs w:val="22"/>
        </w:rPr>
        <w:t xml:space="preserve">Use the CRITICAL items as the minimum viable checklist — without these 5 items, the pilot cannot launch with compliance coverage.</w:t>
      </w:r>
    </w:p>
    <w:p>
      <w:pPr>
        <w:pStyle w:val="ListParagraph"/>
        <w:numPr>
          <w:ilvl w:val="0"/>
          <w:numId w:val="2"/>
        </w:numPr>
        <w:spacing w:after="40" w:before="40"/>
      </w:pPr>
      <w:r>
        <w:rPr>
          <w:rFonts w:ascii="Arial" w:cs="Arial" w:eastAsia="Arial" w:hAnsi="Arial"/>
          <w:sz w:val="22"/>
          <w:szCs w:val="22"/>
        </w:rPr>
        <w:t xml:space="preserve">Request all HIGH items within 2 weeks of pilot kickoff.</w:t>
      </w:r>
    </w:p>
    <w:p>
      <w:pPr>
        <w:pStyle w:val="ListParagraph"/>
        <w:numPr>
          <w:ilvl w:val="0"/>
          <w:numId w:val="2"/>
        </w:numPr>
        <w:spacing w:after="40" w:before="40"/>
      </w:pPr>
      <w:r>
        <w:rPr>
          <w:rFonts w:ascii="Arial" w:cs="Arial" w:eastAsia="Arial" w:hAnsi="Arial"/>
          <w:sz w:val="22"/>
          <w:szCs w:val="22"/>
        </w:rPr>
        <w:t xml:space="preserve">MEDIUM and LOW items can be collected iteratively over the first 60 days of operation.</w:t>
      </w:r>
    </w:p>
    <w:p>
      <w:pPr>
        <w:pStyle w:val="ListParagraph"/>
        <w:numPr>
          <w:ilvl w:val="0"/>
          <w:numId w:val="2"/>
        </w:numPr>
        <w:spacing w:after="40" w:before="40"/>
      </w:pPr>
      <w:r>
        <w:rPr>
          <w:rFonts w:ascii="Arial" w:cs="Arial" w:eastAsia="Arial" w:hAnsi="Arial"/>
          <w:sz w:val="22"/>
          <w:szCs w:val="22"/>
        </w:rPr>
        <w:t xml:space="preserve">Once collected, file each document into the corresponding wiki/ subdirectory (not HR-Forms root) so build agents can reference them.</w:t>
      </w:r>
    </w:p>
    <w:p>
      <w:r>
        <w:br w:type="page"/>
      </w:r>
    </w:p>
    <w:p>
      <w:pPr>
        <w:pStyle w:val="Heading1"/>
        <w:spacing w:after="120" w:before="360"/>
      </w:pPr>
      <w:r>
        <w:rPr>
          <w:rFonts w:ascii="Arial" w:cs="Arial" w:eastAsia="Arial" w:hAnsi="Arial"/>
          <w:b/>
          <w:bCs/>
          <w:color w:val="1B2A4A"/>
          <w:sz w:val="32"/>
          <w:szCs w:val="32"/>
        </w:rPr>
        <w:t xml:space="preserve">Section 4 — Spec Misalignments</w:t>
      </w:r>
    </w:p>
    <w:p>
      <w:pPr>
        <w:pBdr>
          <w:bottom w:val="single" w:color="0D7A7A" w:sz="4" w:space="1"/>
        </w:pBdr>
        <w:spacing w:after="120" w:before="120"/>
      </w:pPr>
      <w:r>
        <w:t xml:space="preserve"/>
      </w:r>
    </w:p>
    <w:p>
      <w:pPr>
        <w:spacing w:after="120" w:before="60"/>
      </w:pPr>
      <w:r>
        <w:rPr>
          <w:rFonts w:ascii="Arial" w:cs="Arial" w:eastAsia="Arial" w:hAnsi="Arial"/>
          <w:sz w:val="22"/>
          <w:szCs w:val="22"/>
        </w:rPr>
        <w:t xml:space="preserve">These are places where the existing specs were written based on generic ALF platform assumptions, but COL's actual operations differ. Each misalignment requires a spec update before the relevant module is built. None of these require architectural changes — they are primarily data model additions and workflow additions.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860"/>
        <w:gridCol w:w="53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Misalignment</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Module(s)</w:t>
            </w:r>
          </w:p>
        </w:tc>
        <w:tc>
          <w:tcPr>
            <w:tcW w:type="dxa" w:w="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5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Baya medication outsourcing not reflected</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06</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5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COL uses Baya for medication management training &amp; oversight (active contract). Spec models in-house medication program only. Baya-to-Haven integration handoff (order transmission, training credits) not addressed.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Medicaid MCO names absent from billing spec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16</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FCC, Sunshine Health, Humana, WellCare, UHC are active payers at every facility. Module 16 models 'multiple payer support' generically but doesn't seed or reference actual COL payer configurations.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Caring.com referral contract not in referral spec</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Modules 01, 22</w:t>
            </w:r>
          </w:p>
        </w:tc>
        <w:tc>
          <w:tcPr>
            <w:tcW w:type="dxa" w:w="1400"/>
            <w:tcBorders>
              <w:top w:val="single" w:color="CCCCCC" w:sz="1"/>
              <w:left w:val="single" w:color="CCCCCC" w:sz="1"/>
              <w:bottom w:val="single" w:color="CCCCCC" w:sz="1"/>
              <w:right w:val="single" w:color="CCCCCC" w:sz="1"/>
            </w:tcBorders>
            <w:shd w:fill="C996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5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COL has an active Caring.com referral contract (in Management/Agreements). Module 22 models generic referral sources but doesn't define Caring.com as a named, chargeable source with lead attribution.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DCF coordination workflow entirely missing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Modules 02, 05</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COL actively uses DCF forms (DCF discharge notice 2506, eligibility review, DCF notification). Module 02 (admissions) and Module 05 (discharge) must model DCF workflow — not mentioned in either spec.</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Representative Payee / SSA-787 not addressed</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02</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5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COL manages SSA Representative Payee arrangements for multiple residents (SSA-787 forms in new admission packets). This is a financial custodianship workflow not reflected in any spec.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Form 1823 is not a first-class object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02</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Form 1823 (FL AHCA Physician's Report) is the legal entry point for all ALF admissions under §429.26. COL tracks it with a dedicated 5-facility audit form. Module 02 must model Form 1823 as a required document with completion tracking.</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COVID infection control P&amp;P is stale</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09</w:t>
            </w:r>
          </w:p>
        </w:tc>
        <w:tc>
          <w:tcPr>
            <w:tcW w:type="dxa" w:w="1400"/>
            <w:tcBorders>
              <w:top w:val="single" w:color="CCCCCC" w:sz="1"/>
              <w:left w:val="single" w:color="CCCCCC" w:sz="1"/>
              <w:bottom w:val="single" w:color="CCCCCC" w:sz="1"/>
              <w:right w:val="single" w:color="CCCCCC" w:sz="1"/>
            </w:tcBorders>
            <w:shd w:fill="C996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5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COL's documented COVID procedures are from July 2021. Module 09 infection control spec is built — but when staff access the policy repository, they'll find outdated guidance. Must be updated before pilot.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Vendor spec doesn't reference COL's actual vendor ecosystem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19</w:t>
            </w:r>
          </w:p>
        </w:tc>
        <w:tc>
          <w:tcPr>
            <w:tcW w:type="dxa" w:w="1400"/>
            <w:tcBorders>
              <w:top w:val="single" w:color="CCCCCC" w:sz="1"/>
              <w:left w:val="single" w:color="CCCCCC" w:sz="1"/>
              <w:bottom w:val="single" w:color="CCCCCC" w:sz="1"/>
              <w:right w:val="single" w:color="CCCCCC" w:sz="1"/>
            </w:tcBorders>
            <w:shd w:fill="C996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COL has 50+ active vendor contracts (Cintas, FloridaLab, Cheney Bros, Green Star, Zultys, AT&amp;T, BioCycle, GW Hunter, etc.). The vendor management spec is generic. COL's actual vendor list should seed the vendors table at launch.</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1B2A4A"/>
                <w:sz w:val="20"/>
                <w:szCs w:val="20"/>
              </w:rPr>
              <w:t xml:space="preserve">Insurance spec has no COL carrier data</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18</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5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18 is partially spec'd but COL's actual GL, professional liability, and workers' comp carriers are not documented anywhere in the wiki. Cannot configure Module 18 without this.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20"/>
                <w:szCs w:val="20"/>
              </w:rPr>
              <w:t xml:space="preserve">wiki/clinical/ is empty despite clinical being core product domain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Modules 03–09</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The structured wiki has a clinical/ subfolder with 5 domains (health-assessments, incident-reports, infection-control, medication, physician-orders) — all empty. Clinical forms exist in HR-Forms but are not wikified. Build agents will have no reference for clinical workflows.</w:t>
            </w:r>
          </w:p>
        </w:tc>
      </w:tr>
    </w:tbl>
    <w:p>
      <w:r>
        <w:br w:type="page"/>
      </w:r>
    </w:p>
    <w:p>
      <w:pPr>
        <w:pStyle w:val="Heading1"/>
        <w:spacing w:after="120" w:before="360"/>
      </w:pPr>
      <w:r>
        <w:rPr>
          <w:rFonts w:ascii="Arial" w:cs="Arial" w:eastAsia="Arial" w:hAnsi="Arial"/>
          <w:b/>
          <w:bCs/>
          <w:color w:val="1B2A4A"/>
          <w:sz w:val="32"/>
          <w:szCs w:val="32"/>
        </w:rPr>
        <w:t xml:space="preserve">Section 5 — New Spec Files Produced</w:t>
      </w:r>
    </w:p>
    <w:p>
      <w:pPr>
        <w:pBdr>
          <w:bottom w:val="single" w:color="0D7A7A" w:sz="4" w:space="1"/>
        </w:pBdr>
        <w:spacing w:after="120" w:before="120"/>
      </w:pPr>
      <w:r>
        <w:t xml:space="preserve"/>
      </w:r>
    </w:p>
    <w:p>
      <w:pPr>
        <w:spacing w:after="120" w:before="60"/>
      </w:pPr>
      <w:r>
        <w:rPr>
          <w:rFonts w:ascii="Arial" w:cs="Arial" w:eastAsia="Arial" w:hAnsi="Arial"/>
          <w:sz w:val="22"/>
          <w:szCs w:val="22"/>
        </w:rPr>
        <w:t xml:space="preserve">Based on this analysis, the following new or enriched spec files have been produced and saved to docs/specs/ in the Circle-of-Life repository. Each was written using the wiki content as the source of operational truth.</w:t>
      </w:r>
    </w:p>
    <w:p>
      <w:pPr>
        <w:spacing w:after="80" w:before="80"/>
      </w:pPr>
      <w:r>
        <w:t xml:space="preserve"/>
      </w:r>
    </w:p>
    <w:p>
      <w:pPr>
        <w:pStyle w:val="Heading2"/>
        <w:spacing w:after="80" w:before="280"/>
      </w:pPr>
      <w:r>
        <w:rPr>
          <w:rFonts w:ascii="Arial" w:cs="Arial" w:eastAsia="Arial" w:hAnsi="Arial"/>
          <w:b/>
          <w:bCs/>
          <w:color w:val="0D7A7A"/>
          <w:sz w:val="26"/>
          <w:szCs w:val="26"/>
        </w:rPr>
        <w:t xml:space="preserve">12-training-competency.md — Enriched from STUB to PARTIAL</w:t>
      </w:r>
    </w:p>
    <w:p>
      <w:pPr>
        <w:pStyle w:val="ListParagraph"/>
        <w:numPr>
          <w:ilvl w:val="0"/>
          <w:numId w:val="2"/>
        </w:numPr>
        <w:spacing w:after="40" w:before="40"/>
      </w:pPr>
      <w:r>
        <w:rPr>
          <w:rFonts w:ascii="Arial" w:cs="Arial" w:eastAsia="Arial" w:hAnsi="Arial"/>
          <w:sz w:val="22"/>
          <w:szCs w:val="22"/>
        </w:rPr>
        <w:t xml:space="preserve">Added: Baya Medication Training as a named mandatory external program with completion certificate tracking.</w:t>
      </w:r>
    </w:p>
    <w:p>
      <w:pPr>
        <w:pStyle w:val="ListParagraph"/>
        <w:numPr>
          <w:ilvl w:val="0"/>
          <w:numId w:val="2"/>
        </w:numPr>
        <w:spacing w:after="40" w:before="40"/>
      </w:pPr>
      <w:r>
        <w:rPr>
          <w:rFonts w:ascii="Arial" w:cs="Arial" w:eastAsia="Arial" w:hAnsi="Arial"/>
          <w:sz w:val="22"/>
          <w:szCs w:val="22"/>
        </w:rPr>
        <w:t xml:space="preserve">Added: Florida mandatory training requirements per FAC 59A-36 (CPR/First Aid, Alzheimer's, HIPAA, CHW, abuse prevention, food safety).</w:t>
      </w:r>
    </w:p>
    <w:p>
      <w:pPr>
        <w:pStyle w:val="ListParagraph"/>
        <w:numPr>
          <w:ilvl w:val="0"/>
          <w:numId w:val="2"/>
        </w:numPr>
        <w:spacing w:after="40" w:before="40"/>
      </w:pPr>
      <w:r>
        <w:rPr>
          <w:rFonts w:ascii="Arial" w:cs="Arial" w:eastAsia="Arial" w:hAnsi="Arial"/>
          <w:sz w:val="22"/>
          <w:szCs w:val="22"/>
        </w:rPr>
        <w:t xml:space="preserve">Added: Orientation checklist structure (7-day, 30-day, 90-day onboarding gates).</w:t>
      </w:r>
    </w:p>
    <w:p>
      <w:pPr>
        <w:pStyle w:val="ListParagraph"/>
        <w:numPr>
          <w:ilvl w:val="0"/>
          <w:numId w:val="2"/>
        </w:numPr>
        <w:spacing w:after="40" w:before="40"/>
      </w:pPr>
      <w:r>
        <w:rPr>
          <w:rFonts w:ascii="Arial" w:cs="Arial" w:eastAsia="Arial" w:hAnsi="Arial"/>
          <w:sz w:val="22"/>
          <w:szCs w:val="22"/>
        </w:rPr>
        <w:t xml:space="preserve">Added: Competency demonstration form schema (skills_json expanded with COL-specific skill taxonomy).</w:t>
      </w:r>
    </w:p>
    <w:p>
      <w:pPr>
        <w:pStyle w:val="ListParagraph"/>
        <w:numPr>
          <w:ilvl w:val="0"/>
          <w:numId w:val="2"/>
        </w:numPr>
        <w:spacing w:after="40" w:before="40"/>
      </w:pPr>
      <w:r>
        <w:rPr>
          <w:rFonts w:ascii="Arial" w:cs="Arial" w:eastAsia="Arial" w:hAnsi="Arial"/>
          <w:sz w:val="22"/>
          <w:szCs w:val="22"/>
        </w:rPr>
        <w:t xml:space="preserve">Added: In-service training sign-in tracking with multi-facility rollup.</w:t>
      </w:r>
    </w:p>
    <w:p>
      <w:pPr>
        <w:spacing w:after="80" w:before="80"/>
      </w:pPr>
      <w:r>
        <w:t xml:space="preserve"/>
      </w:r>
    </w:p>
    <w:p>
      <w:pPr>
        <w:pStyle w:val="Heading2"/>
        <w:spacing w:after="80" w:before="280"/>
      </w:pPr>
      <w:r>
        <w:rPr>
          <w:rFonts w:ascii="Arial" w:cs="Arial" w:eastAsia="Arial" w:hAnsi="Arial"/>
          <w:b/>
          <w:bCs/>
          <w:color w:val="0D7A7A"/>
          <w:sz w:val="26"/>
          <w:szCs w:val="26"/>
        </w:rPr>
        <w:t xml:space="preserve">14-dietary-nutrition.md — Enriched from STUB to PARTIAL</w:t>
      </w:r>
    </w:p>
    <w:p>
      <w:pPr>
        <w:pStyle w:val="ListParagraph"/>
        <w:numPr>
          <w:ilvl w:val="0"/>
          <w:numId w:val="2"/>
        </w:numPr>
        <w:spacing w:after="40" w:before="40"/>
      </w:pPr>
      <w:r>
        <w:rPr>
          <w:rFonts w:ascii="Arial" w:cs="Arial" w:eastAsia="Arial" w:hAnsi="Arial"/>
          <w:sz w:val="22"/>
          <w:szCs w:val="22"/>
        </w:rPr>
        <w:t xml:space="preserve">Added: HACCP compliance workflow (kitchen temp logging, food storage verification, meal log).</w:t>
      </w:r>
    </w:p>
    <w:p>
      <w:pPr>
        <w:pStyle w:val="ListParagraph"/>
        <w:numPr>
          <w:ilvl w:val="0"/>
          <w:numId w:val="2"/>
        </w:numPr>
        <w:spacing w:after="40" w:before="40"/>
      </w:pPr>
      <w:r>
        <w:rPr>
          <w:rFonts w:ascii="Arial" w:cs="Arial" w:eastAsia="Arial" w:hAnsi="Arial"/>
          <w:sz w:val="22"/>
          <w:szCs w:val="22"/>
        </w:rPr>
        <w:t xml:space="preserve">Added: COL's actual dietary form set (food service daily, kitchen temp log, dinner meal log, hand washing chart, food storage guidelines, cutting board color chart).</w:t>
      </w:r>
    </w:p>
    <w:p>
      <w:pPr>
        <w:pStyle w:val="ListParagraph"/>
        <w:numPr>
          <w:ilvl w:val="0"/>
          <w:numId w:val="2"/>
        </w:numPr>
        <w:spacing w:after="40" w:before="40"/>
      </w:pPr>
      <w:r>
        <w:rPr>
          <w:rFonts w:ascii="Arial" w:cs="Arial" w:eastAsia="Arial" w:hAnsi="Arial"/>
          <w:sz w:val="22"/>
          <w:szCs w:val="22"/>
        </w:rPr>
        <w:t xml:space="preserve">Added: Florida food handler health requirements integration (per wiki/HR-Forms/Food Service).</w:t>
      </w:r>
    </w:p>
    <w:p>
      <w:pPr>
        <w:pStyle w:val="ListParagraph"/>
        <w:numPr>
          <w:ilvl w:val="0"/>
          <w:numId w:val="2"/>
        </w:numPr>
        <w:spacing w:after="40" w:before="40"/>
      </w:pPr>
      <w:r>
        <w:rPr>
          <w:rFonts w:ascii="Arial" w:cs="Arial" w:eastAsia="Arial" w:hAnsi="Arial"/>
          <w:sz w:val="22"/>
          <w:szCs w:val="22"/>
        </w:rPr>
        <w:t xml:space="preserve">Added: Menu planning and nutritional assessment workflow.</w:t>
      </w:r>
    </w:p>
    <w:p>
      <w:pPr>
        <w:pStyle w:val="ListParagraph"/>
        <w:numPr>
          <w:ilvl w:val="0"/>
          <w:numId w:val="2"/>
        </w:numPr>
        <w:spacing w:after="40" w:before="40"/>
      </w:pPr>
      <w:r>
        <w:rPr>
          <w:rFonts w:ascii="Arial" w:cs="Arial" w:eastAsia="Arial" w:hAnsi="Arial"/>
          <w:sz w:val="22"/>
          <w:szCs w:val="22"/>
        </w:rPr>
        <w:t xml:space="preserve">Added: Dietary staff credential tracking (food handler certification).</w:t>
      </w:r>
    </w:p>
    <w:p>
      <w:pPr>
        <w:spacing w:after="80" w:before="80"/>
      </w:pPr>
      <w:r>
        <w:t xml:space="preserve"/>
      </w:r>
    </w:p>
    <w:p>
      <w:pPr>
        <w:pStyle w:val="Heading2"/>
        <w:spacing w:after="80" w:before="280"/>
      </w:pPr>
      <w:r>
        <w:rPr>
          <w:rFonts w:ascii="Arial" w:cs="Arial" w:eastAsia="Arial" w:hAnsi="Arial"/>
          <w:b/>
          <w:bCs/>
          <w:color w:val="0D7A7A"/>
          <w:sz w:val="26"/>
          <w:szCs w:val="26"/>
        </w:rPr>
        <w:t xml:space="preserve">15-transportation.md — Enriched from STUB to PARTIAL</w:t>
      </w:r>
    </w:p>
    <w:p>
      <w:pPr>
        <w:pStyle w:val="ListParagraph"/>
        <w:numPr>
          <w:ilvl w:val="0"/>
          <w:numId w:val="2"/>
        </w:numPr>
        <w:spacing w:after="40" w:before="40"/>
      </w:pPr>
      <w:r>
        <w:rPr>
          <w:rFonts w:ascii="Arial" w:cs="Arial" w:eastAsia="Arial" w:hAnsi="Arial"/>
          <w:sz w:val="22"/>
          <w:szCs w:val="22"/>
        </w:rPr>
        <w:t xml:space="preserve">Added: Mileage tracking and reimbursement workflow (driven by Darren Mileage Report 2025 pattern).</w:t>
      </w:r>
    </w:p>
    <w:p>
      <w:pPr>
        <w:pStyle w:val="ListParagraph"/>
        <w:numPr>
          <w:ilvl w:val="0"/>
          <w:numId w:val="2"/>
        </w:numPr>
        <w:spacing w:after="40" w:before="40"/>
      </w:pPr>
      <w:r>
        <w:rPr>
          <w:rFonts w:ascii="Arial" w:cs="Arial" w:eastAsia="Arial" w:hAnsi="Arial"/>
          <w:sz w:val="22"/>
          <w:szCs w:val="22"/>
        </w:rPr>
        <w:t xml:space="preserve">Added: Driver credential tracking (license expiration, background check, DMV record verification).</w:t>
      </w:r>
    </w:p>
    <w:p>
      <w:pPr>
        <w:pStyle w:val="ListParagraph"/>
        <w:numPr>
          <w:ilvl w:val="0"/>
          <w:numId w:val="2"/>
        </w:numPr>
        <w:spacing w:after="40" w:before="40"/>
      </w:pPr>
      <w:r>
        <w:rPr>
          <w:rFonts w:ascii="Arial" w:cs="Arial" w:eastAsia="Arial" w:hAnsi="Arial"/>
          <w:sz w:val="22"/>
          <w:szCs w:val="22"/>
        </w:rPr>
        <w:t xml:space="preserve">Added: Vehicle inspection log schema.</w:t>
      </w:r>
    </w:p>
    <w:p>
      <w:pPr>
        <w:pStyle w:val="ListParagraph"/>
        <w:numPr>
          <w:ilvl w:val="0"/>
          <w:numId w:val="2"/>
        </w:numPr>
        <w:spacing w:after="40" w:before="40"/>
      </w:pPr>
      <w:r>
        <w:rPr>
          <w:rFonts w:ascii="Arial" w:cs="Arial" w:eastAsia="Arial" w:hAnsi="Arial"/>
          <w:sz w:val="22"/>
          <w:szCs w:val="22"/>
        </w:rPr>
        <w:t xml:space="preserve">Added: Resident transportation scheduling and consent model.</w:t>
      </w:r>
    </w:p>
    <w:p>
      <w:pPr>
        <w:spacing w:after="80" w:before="80"/>
      </w:pPr>
      <w:r>
        <w:t xml:space="preserve"/>
      </w:r>
    </w:p>
    <w:p>
      <w:pPr>
        <w:pStyle w:val="Heading2"/>
        <w:spacing w:after="80" w:before="280"/>
      </w:pPr>
      <w:r>
        <w:rPr>
          <w:rFonts w:ascii="Arial" w:cs="Arial" w:eastAsia="Arial" w:hAnsi="Arial"/>
          <w:b/>
          <w:bCs/>
          <w:color w:val="0D7A7A"/>
          <w:sz w:val="26"/>
          <w:szCs w:val="26"/>
        </w:rPr>
        <w:t xml:space="preserve">02-admissions-move-in.md — Amendment notes (spec team to incorporate)</w:t>
      </w:r>
    </w:p>
    <w:p>
      <w:pPr>
        <w:spacing w:after="120" w:before="60"/>
      </w:pPr>
      <w:r>
        <w:rPr>
          <w:rFonts w:ascii="Arial" w:cs="Arial" w:eastAsia="Arial" w:hAnsi="Arial"/>
          <w:b/>
          <w:bCs/>
          <w:sz w:val="22"/>
          <w:szCs w:val="22"/>
        </w:rPr>
        <w:t xml:space="preserve">The following must be added to the existing spec:</w:t>
      </w:r>
    </w:p>
    <w:p>
      <w:pPr>
        <w:pStyle w:val="ListParagraph"/>
        <w:numPr>
          <w:ilvl w:val="0"/>
          <w:numId w:val="2"/>
        </w:numPr>
        <w:spacing w:after="40" w:before="40"/>
      </w:pPr>
      <w:r>
        <w:rPr>
          <w:rFonts w:ascii="Arial" w:cs="Arial" w:eastAsia="Arial" w:hAnsi="Arial"/>
          <w:sz w:val="22"/>
          <w:szCs w:val="22"/>
        </w:rPr>
        <w:t xml:space="preserve">Form 1823 (Physician's Report) must be a first-class document entity with workflow tracking. Required by FL §429.26. COL has a 5-facility audit form for this — should match Haven's tracking schema.</w:t>
      </w:r>
    </w:p>
    <w:p>
      <w:pPr>
        <w:pStyle w:val="ListParagraph"/>
        <w:numPr>
          <w:ilvl w:val="0"/>
          <w:numId w:val="2"/>
        </w:numPr>
        <w:spacing w:after="40" w:before="40"/>
      </w:pPr>
      <w:r>
        <w:rPr>
          <w:rFonts w:ascii="Arial" w:cs="Arial" w:eastAsia="Arial" w:hAnsi="Arial"/>
          <w:sz w:val="22"/>
          <w:szCs w:val="22"/>
        </w:rPr>
        <w:t xml:space="preserve">Representative Payee / SSA-787 must be modeled as a resident financial relationship type. COL manages Rep. Payee arrangements for multiple residents (SSA-787 forms confirmed in admission packets).</w:t>
      </w:r>
    </w:p>
    <w:p>
      <w:pPr>
        <w:pStyle w:val="ListParagraph"/>
        <w:numPr>
          <w:ilvl w:val="0"/>
          <w:numId w:val="2"/>
        </w:numPr>
        <w:spacing w:after="40" w:before="40"/>
      </w:pPr>
      <w:r>
        <w:rPr>
          <w:rFonts w:ascii="Arial" w:cs="Arial" w:eastAsia="Arial" w:hAnsi="Arial"/>
          <w:sz w:val="22"/>
          <w:szCs w:val="22"/>
        </w:rPr>
        <w:t xml:space="preserve">DCF coordination must be added as a workflow step: DCF Notification (pre-admission for Medicaid residents), Eligibility Review, DCF Discharge Notice (Form 2506).</w:t>
      </w:r>
    </w:p>
    <w:p>
      <w:pPr>
        <w:pStyle w:val="ListParagraph"/>
        <w:numPr>
          <w:ilvl w:val="0"/>
          <w:numId w:val="2"/>
        </w:numPr>
        <w:spacing w:after="40" w:before="40"/>
      </w:pPr>
      <w:r>
        <w:rPr>
          <w:rFonts w:ascii="Arial" w:cs="Arial" w:eastAsia="Arial" w:hAnsi="Arial"/>
          <w:sz w:val="22"/>
          <w:szCs w:val="22"/>
        </w:rPr>
        <w:t xml:space="preserve">Admission agreement must be facility-specific — COL has different agreements for HW, OR, RO, GC. Spec currently assumes one generic template.</w:t>
      </w:r>
    </w:p>
    <w:p>
      <w:pPr>
        <w:spacing w:after="80" w:before="80"/>
      </w:pPr>
      <w:r>
        <w:t xml:space="preserve"/>
      </w:r>
    </w:p>
    <w:p>
      <w:pPr>
        <w:pStyle w:val="Heading2"/>
        <w:spacing w:after="80" w:before="280"/>
      </w:pPr>
      <w:r>
        <w:rPr>
          <w:rFonts w:ascii="Arial" w:cs="Arial" w:eastAsia="Arial" w:hAnsi="Arial"/>
          <w:b/>
          <w:bCs/>
          <w:color w:val="0D7A7A"/>
          <w:sz w:val="26"/>
          <w:szCs w:val="26"/>
        </w:rPr>
        <w:t xml:space="preserve">Recommended Next: Module Stubs to Promote to PARTIAL</w:t>
      </w:r>
    </w:p>
    <w:p>
      <w:pPr>
        <w:spacing w:after="120" w:before="60"/>
      </w:pPr>
      <w:r>
        <w:rPr>
          <w:rFonts w:ascii="Arial" w:cs="Arial" w:eastAsia="Arial" w:hAnsi="Arial"/>
          <w:sz w:val="22"/>
          <w:szCs w:val="22"/>
        </w:rPr>
        <w:t xml:space="preserve">The following stub specs have enough wiki content to warrant promotion but need the COL collection items (Section 3) first:</w:t>
      </w:r>
    </w:p>
    <w:p>
      <w:pPr>
        <w:pStyle w:val="ListParagraph"/>
        <w:numPr>
          <w:ilvl w:val="0"/>
          <w:numId w:val="2"/>
        </w:numPr>
        <w:spacing w:after="40" w:before="40"/>
      </w:pPr>
      <w:r>
        <w:rPr>
          <w:rFonts w:ascii="Arial" w:cs="Arial" w:eastAsia="Arial" w:hAnsi="Arial"/>
          <w:sz w:val="22"/>
          <w:szCs w:val="22"/>
        </w:rPr>
        <w:t xml:space="preserve">13-payroll-integration.md — Cannot spec without knowing COL's payroll vendor. Collect and update.</w:t>
      </w:r>
    </w:p>
    <w:p>
      <w:pPr>
        <w:pStyle w:val="ListParagraph"/>
        <w:numPr>
          <w:ilvl w:val="0"/>
          <w:numId w:val="2"/>
        </w:numPr>
        <w:spacing w:after="40" w:before="40"/>
      </w:pPr>
      <w:r>
        <w:rPr>
          <w:rFonts w:ascii="Arial" w:cs="Arial" w:eastAsia="Arial" w:hAnsi="Arial"/>
          <w:sz w:val="22"/>
          <w:szCs w:val="22"/>
        </w:rPr>
        <w:t xml:space="preserve">18-insurance-risk-finance.md — Cannot configure without COL's actual carriers. Collect and update.</w:t>
      </w:r>
    </w:p>
    <w:p>
      <w:pPr>
        <w:pStyle w:val="ListParagraph"/>
        <w:numPr>
          <w:ilvl w:val="0"/>
          <w:numId w:val="2"/>
        </w:numPr>
        <w:spacing w:after="40" w:before="40"/>
      </w:pPr>
      <w:r>
        <w:rPr>
          <w:rFonts w:ascii="Arial" w:cs="Arial" w:eastAsia="Arial" w:hAnsi="Arial"/>
          <w:sz w:val="22"/>
          <w:szCs w:val="22"/>
        </w:rPr>
        <w:t xml:space="preserve">22-referral-crm.md — Caring.com is confirmed as a named referral source. Add it and define attribution model.</w:t>
      </w:r>
    </w:p>
    <w:p>
      <w:pPr>
        <w:pStyle w:val="ListParagraph"/>
        <w:numPr>
          <w:ilvl w:val="0"/>
          <w:numId w:val="2"/>
        </w:numPr>
        <w:spacing w:after="40" w:before="40"/>
      </w:pPr>
      <w:r>
        <w:rPr>
          <w:rFonts w:ascii="Arial" w:cs="Arial" w:eastAsia="Arial" w:hAnsi="Arial"/>
          <w:sz w:val="22"/>
          <w:szCs w:val="22"/>
        </w:rPr>
        <w:t xml:space="preserve">23-reputation.md — Google, Yelp, and Caring.com presence needs verification. Collect account info and activate spec.</w:t>
      </w:r>
    </w:p>
    <w:p>
      <w:pPr>
        <w:spacing w:after="80" w:before="80"/>
      </w:pPr>
      <w:r>
        <w:t xml:space="preserve"/>
      </w:r>
    </w:p>
    <w:p>
      <w:pPr>
        <w:pBdr>
          <w:bottom w:val="single" w:color="C9962B" w:sz="4" w:space="1"/>
        </w:pBdr>
        <w:spacing w:after="120" w:before="120"/>
      </w:pPr>
      <w:r>
        <w:t xml:space="preserve"/>
      </w:r>
    </w:p>
    <w:p>
      <w:pPr>
        <w:spacing w:before="120"/>
        <w:jc w:val="center"/>
      </w:pPr>
      <w:r>
        <w:rPr>
          <w:rFonts w:ascii="Arial" w:cs="Arial" w:eastAsia="Arial" w:hAnsi="Arial"/>
          <w:i/>
          <w:iCs/>
          <w:color w:val="5D6D7E"/>
          <w:sz w:val="20"/>
          <w:szCs w:val="20"/>
        </w:rPr>
        <w:t xml:space="preserve">End of Report — Haven Gap Analysis v1.0 — April 8,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A7A" w:sz="4" w:space="1"/>
      </w:pBdr>
      <w:tabs>
        <w:tab w:val="right" w:pos="9360"/>
      </w:tabs>
    </w:pPr>
    <w:r>
      <w:rPr>
        <w:rFonts w:ascii="Arial" w:cs="Arial" w:eastAsia="Arial" w:hAnsi="Arial"/>
        <w:color w:val="5D6D7E"/>
        <w:sz w:val="18"/>
        <w:szCs w:val="18"/>
      </w:rPr>
      <w:t xml:space="preserve">BlackRock AI  |  Haven Platform</w:t>
    </w:r>
    <w:r>
      <w:rPr>
        <w:rFonts w:ascii="Arial" w:cs="Arial" w:eastAsia="Arial" w:hAnsi="Arial"/>
        <w:color w:val="5D6D7E"/>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A7A" w:sz="4" w:space="1"/>
      </w:pBdr>
      <w:tabs>
        <w:tab w:val="right" w:pos="9360"/>
      </w:tabs>
    </w:pPr>
    <w:r>
      <w:rPr>
        <w:rFonts w:ascii="Arial" w:cs="Arial" w:eastAsia="Arial" w:hAnsi="Arial"/>
        <w:color w:val="5D6D7E"/>
        <w:sz w:val="18"/>
        <w:szCs w:val="18"/>
      </w:rPr>
      <w:t xml:space="preserve">Haven — Circle of Life Wiki &amp; Roadmap Gap Analysis</w:t>
    </w:r>
    <w:r>
      <w:rPr>
        <w:rFonts w:ascii="Arial" w:cs="Arial" w:eastAsia="Arial" w:hAnsi="Arial"/>
        <w:color w:val="5D6D7E"/>
        <w:sz w:val="18"/>
        <w:szCs w:val="18"/>
      </w:rPr>
      <w:t xml:space="preserve">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D7A7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2026-04-08T21:42:08.210Z</dcterms:created>
  <dcterms:modified xsi:type="dcterms:W3CDTF">2026-04-08T21:42:08.210Z</dcterms:modified>
</cp:coreProperties>
</file>

<file path=docProps/custom.xml><?xml version="1.0" encoding="utf-8"?>
<Properties xmlns="http://schemas.openxmlformats.org/officeDocument/2006/custom-properties" xmlns:vt="http://schemas.openxmlformats.org/officeDocument/2006/docPropsVTypes"/>
</file>