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111111" w:val="solid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28A07"/>
                <w:sz w:val="18"/>
                <w:szCs w:val="18"/>
              </w:rPr>
              <w:t xml:space="preserve">QUALITY EQUIPMENT &amp; PARTS INC.</w:t>
            </w:r>
          </w:p>
          <w:p>
            <w:pPr>
              <w:spacing w:after="60" w:line="280"/>
            </w:pPr>
            <w:r>
              <w:rPr>
                <w:rFonts w:ascii="Bebas Neue" w:cs="Bebas Neue" w:eastAsia="Bebas Neue" w:hAnsi="Bebas Neue"/>
                <w:b/>
                <w:bCs/>
                <w:caps/>
                <w:color w:val="FFFFFF"/>
                <w:sz w:val="84"/>
                <w:szCs w:val="84"/>
              </w:rPr>
              <w:t xml:space="preserve">ACTION SHEET</w:t>
            </w:r>
          </w:p>
          <w:p>
            <w:pPr>
              <w:spacing w:after="4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28A07"/>
                <w:sz w:val="22"/>
                <w:szCs w:val="22"/>
              </w:rPr>
              <w:t xml:space="preserve">BlackRock AI — Brian Lewis</w:t>
            </w:r>
          </w:p>
          <w:p>
            <w:pPr>
              <w:spacing w:after="0"/>
            </w:pPr>
            <w:r>
              <w:rPr>
                <w:rFonts w:ascii="Inter" w:cs="Inter" w:eastAsia="Inter" w:hAnsi="Inter"/>
                <w:color w:val="BFBFBF"/>
                <w:sz w:val="22"/>
                <w:szCs w:val="22"/>
              </w:rPr>
              <w:t xml:space="preserve">April 23, 2026</w:t>
            </w:r>
          </w:p>
        </w:tc>
      </w:tr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8A07" w:color="F28A07" w:val="solid"/>
          </w:tcPr>
          <w:p>
            <w:pPr>
              <w:spacing w:after="120" w:before="12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SETTING A NEW STANDARD IN HEAVY EQUIPMENT. IT’S IN THE NAME.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8A07" w:color="F28A07" w:val="solid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color="F4F4F4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111111"/>
                <w:sz w:val="20"/>
                <w:szCs w:val="20"/>
              </w:rPr>
              <w:t xml:space="preserve">Your Plate — QEP Build</w:t>
            </w:r>
          </w:p>
          <w:p>
            <w:pPr>
              <w:spacing w:after="60" w:line="300"/>
            </w:pPr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12 items on Brian's queue from the April 23, 2026 check-in. Sort order: highest priority first. Execute in order unless context forces re-sequencing.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pBdr>
          <w:bottom w:val="single" w:color="F28A07" w:sz="18" w:space="4"/>
        </w:pBdr>
        <w:spacing w:after="160" w:before="320" w:line="280"/>
      </w:pPr>
      <w:r>
        <w:rPr>
          <w:rFonts w:ascii="Bebas Neue" w:cs="Bebas Neue" w:eastAsia="Bebas Neue" w:hAnsi="Bebas Neue"/>
          <w:b/>
          <w:bCs/>
          <w:color w:val="F28A07"/>
          <w:sz w:val="40"/>
          <w:szCs w:val="40"/>
        </w:rPr>
        <w:t xml:space="preserve">01  </w:t>
      </w:r>
      <w:r>
        <w:rPr>
          <w:rFonts w:ascii="Bebas Neue" w:cs="Bebas Neue" w:eastAsia="Bebas Neue" w:hAnsi="Bebas Neue"/>
          <w:b/>
          <w:bCs/>
          <w:caps/>
          <w:color w:val="111111"/>
          <w:sz w:val="40"/>
          <w:szCs w:val="40"/>
        </w:rPr>
        <w:t xml:space="preserve">Build Queue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11111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pct" w:w="3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11111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W w:type="pct" w:w="16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11111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pct" w:w="12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11111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pct" w:w="28%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11111" w:color="111111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  <w:jc w:val="left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Revamp the command center UI to a simpler, role-based layout with large quick-action buttons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8A07" w:color="F28A07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F28A07" w:color="F28A07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Each role lands on a dashboard tuned to their top 3-5 tasks. Hide the full management view from non-admin users. Use Redex-style top nav with left submenus.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Build parts dashboard with serial-number-first search and auto-equipment-link workflow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8A07" w:color="F28A07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F28A07" w:color="F28A07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Serial number is mandatory on parts tickets. Typing the serial progressively filters to the machine and auto-attaches the part. Prompt for ownership transfer if the machine has changed hands.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Implement auto-save and drafts section for parts invoices and quotes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8A07" w:color="F28A07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F28A07" w:color="F28A07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Anything not explicitly saved or closed drops to drafts. Pattern follows Word/OneDrive continuous save. Applies across parts, sales, service.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Add TILA-compliant disclaimer to financing calculator output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8A07" w:color="F28A07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F28A07" w:color="F28A07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Payment estimate language only. No guaranteed rate. Cite manufacturer-published APR source when used. Do not launch financing features without this.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Build QRM foundation with 100% IntelliDealer field parity for companies and contacts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8A07" w:color="F28A07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F28A07" w:color="F28A07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Phase 1 deliverable. Every field IntelliDealer captures must exist in the QRM. This gates sales module data migration.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Build compatibility-based attachment sidebar with one-click add on the equipment quote page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421" w:color="2A2421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2A2421" w:color="2A2421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Replaces the current search-and-add-one-at-a-time flow. Framework is in place.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7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Add extended warranty add-ons section to the quote review step (Step 6)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421" w:color="2A2421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2A2421" w:color="2A2421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Start with prefilled pricing for ASV, Bandit, Yanmar; other brands require quoted warranties. Leave room for future Quality Equipment service plans.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8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Improve customer-facing PDF output quality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421" w:color="2A2421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2A2421" w:color="2A2421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Current PDF is functional but needs design polish before any customer-facing export.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9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Add parts pop-out card with photo, AI part explanation, inventory by branch, and activity history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421" w:color="2A2421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2A2421" w:color="2A2421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Clicking a part surfaces photo, AI-generated explanation of the part and its use, replacement interval, and stock by branch. No new window — side slider only.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10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Integrate 8x8 phone call recording and AI transcription into parts quote pre-fill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A2421" w:color="2A2421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2A2421" w:color="2A2421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Call transcript summarizes, identifies customer, extracts requested parts, and pre-fills a quote draft pending rep confirmation.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11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Fix the floating mobile action bar to stick to the viewport bottom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BFBF" w:color="BFBFB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BFBFBF" w:color="BFBFBF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FFFFFF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Currently the bar sits at page bottom rather than floating with scroll.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olor w:val="F28A07"/>
                <w:sz w:val="22"/>
                <w:szCs w:val="22"/>
              </w:rPr>
              <w:t xml:space="preserve">12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b/>
                <w:bCs/>
                <w:color w:val="111111"/>
                <w:sz w:val="20"/>
                <w:szCs w:val="20"/>
              </w:rPr>
              <w:t xml:space="preserve">Rename Morning Briefing to AI Briefing with on-demand refresh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Brian Lewis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FBFBF" w:color="BFBFBF" w:val="solid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hd w:fill="BFBFBF" w:color="BFBFBF" w:val="solid"/>
              <w:spacing w:after="40" w:before="40"/>
              <w:jc w:val="center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111111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4F4" w:color="F4F4F4" w:val="solid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line="280"/>
            </w:pPr>
            <w:r>
              <w:rPr>
                <w:rFonts w:ascii="Inter" w:cs="Inter" w:eastAsia="Inter" w:hAnsi="Inter"/>
                <w:i/>
                <w:iCs/>
                <w:color w:val="111111"/>
                <w:sz w:val="18"/>
                <w:szCs w:val="18"/>
              </w:rPr>
              <w:t xml:space="preserve">Simple rename; refresh behavior already exists.</w:t>
            </w:r>
          </w:p>
        </w:tc>
      </w:tr>
    </w:tbl>
    <w:p>
      <w:pPr>
        <w:pBdr>
          <w:bottom w:val="single" w:color="F28A07" w:sz="18" w:space="4"/>
        </w:pBdr>
        <w:spacing w:after="160" w:before="320" w:line="280"/>
      </w:pPr>
      <w:r>
        <w:rPr>
          <w:rFonts w:ascii="Bebas Neue" w:cs="Bebas Neue" w:eastAsia="Bebas Neue" w:hAnsi="Bebas Neue"/>
          <w:b/>
          <w:bCs/>
          <w:color w:val="F28A07"/>
          <w:sz w:val="40"/>
          <w:szCs w:val="40"/>
        </w:rPr>
        <w:t xml:space="preserve">02  </w:t>
      </w:r>
      <w:r>
        <w:rPr>
          <w:rFonts w:ascii="Bebas Neue" w:cs="Bebas Neue" w:eastAsia="Bebas Neue" w:hAnsi="Bebas Neue"/>
          <w:b/>
          <w:bCs/>
          <w:caps/>
          <w:color w:val="111111"/>
          <w:sz w:val="40"/>
          <w:szCs w:val="40"/>
        </w:rPr>
        <w:t xml:space="preserve">Critical Call-Outs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8A07" w:color="F28A07" w:val="solid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color="F4F4F4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111111"/>
                <w:sz w:val="20"/>
                <w:szCs w:val="20"/>
              </w:rPr>
              <w:t xml:space="preserve">COMPLIANCE GATE — TILA DISCLAIMERS</w:t>
            </w:r>
          </w:p>
          <w:p>
            <w:pPr>
              <w:spacing w:after="60" w:line="300"/>
            </w:pPr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Do not launch the financing calculator until TILA-compliant disclaimer language is in place. Payment estimate only. No guaranteed rate. Source-attribute manufacturer APRs. Angela is sending Florida rule documentation to support this.</w:t>
            </w:r>
          </w:p>
        </w:tc>
      </w:tr>
    </w:tbl>
    <w:p>
      <w:pPr>
        <w:spacing w:after="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111111" w:val="solid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color="F4F4F4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111111"/>
                <w:sz w:val="20"/>
                <w:szCs w:val="20"/>
              </w:rPr>
              <w:t xml:space="preserve">DATA GATE — REAL CUSTOMER + INVENTORY EXPORTS</w:t>
            </w:r>
          </w:p>
          <w:p>
            <w:pPr>
              <w:spacing w:after="60" w:line="300"/>
            </w:pPr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Cannot finalize sales module testing until Rylee delivers (1) the customer list export and (2) the stock-numbers-with-costs export from IntelliDealer. Everything downstream — margin flags, real quote testing, pipeline metrics — depends on this. Chase if not received.</w:t>
            </w:r>
          </w:p>
        </w:tc>
      </w:tr>
    </w:tbl>
    <w:p>
      <w:pPr>
        <w:spacing w:after="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8A07" w:color="F28A07" w:val="solid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color="F4F4F4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111111"/>
                <w:sz w:val="20"/>
                <w:szCs w:val="20"/>
              </w:rPr>
              <w:t xml:space="preserve">ARCHITECTURE PRINCIPLE — QRM FOUNDATION FIRST</w:t>
            </w:r>
          </w:p>
          <w:p>
            <w:pPr>
              <w:spacing w:after="60" w:line="300"/>
            </w:pPr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Lock the CRM/QRM with 100% IntelliDealer field parity for companies and contacts before building further surfaces. Team aligned: no module ships live until its data foundation is real. Other modules remain built in the backend but hidden from users until their turn.</w:t>
            </w:r>
          </w:p>
        </w:tc>
      </w:tr>
    </w:tbl>
    <w:p>
      <w:pPr>
        <w:spacing w:after="0"/>
      </w:pPr>
      <w:r>
        <w:rPr>
          <w:sz w:val="10"/>
          <w:szCs w:val="10"/>
        </w:rPr>
        <w:t xml:space="preserv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1111" w:color="111111" w:val="solid"/>
          </w:tcPr>
          <w:p>
            <w:r>
              <w:rPr>
                <w:sz w:val="2"/>
                <w:szCs w:val="2"/>
              </w:rPr>
              <w:t xml:space="preserve"/>
            </w:r>
          </w:p>
        </w:tc>
        <w:tc>
          <w:tcPr>
            <w:tcW w:type="pct" w:w="97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color="F4F4F4" w:val="solid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/>
            </w:pPr>
            <w:r>
              <w:rPr>
                <w:rFonts w:ascii="Montserrat" w:cs="Montserrat" w:eastAsia="Montserrat" w:hAnsi="Montserrat"/>
                <w:b/>
                <w:bCs/>
                <w:caps/>
                <w:color w:val="111111"/>
                <w:sz w:val="20"/>
                <w:szCs w:val="20"/>
              </w:rPr>
              <w:t xml:space="preserve">UI DIRECTION — REDEX-STYLE NAV + BRAND COMPLIANCE</w:t>
            </w:r>
          </w:p>
          <w:p>
            <w:pPr>
              <w:spacing w:after="60" w:line="300"/>
            </w:pPr>
            <w:r>
              <w:rPr>
                <w:rFonts w:ascii="Inter" w:cs="Inter" w:eastAsia="Inter" w:hAnsi="Inter"/>
                <w:color w:val="111111"/>
                <w:sz w:val="20"/>
                <w:szCs w:val="20"/>
              </w:rPr>
              <w:t xml:space="preserve">Top nav with left submenus. Dark charcoal background. QEP Orange (#F28A07) for actions and headings. Role-based command center with large quick-action buttons. Floating mobile action bar must stick to viewport bottom. Voice: direct, work-ready, no AI-sounding copy. Rylee flagged this explicitly.</w:t>
            </w:r>
          </w:p>
        </w:tc>
      </w:tr>
    </w:tbl>
    <w:p>
      <w:pPr>
        <w:pBdr>
          <w:bottom w:val="single" w:color="F28A07" w:sz="18" w:space="4"/>
        </w:pBdr>
        <w:spacing w:after="160" w:before="320" w:line="280"/>
      </w:pPr>
      <w:r>
        <w:rPr>
          <w:rFonts w:ascii="Bebas Neue" w:cs="Bebas Neue" w:eastAsia="Bebas Neue" w:hAnsi="Bebas Neue"/>
          <w:b/>
          <w:bCs/>
          <w:color w:val="F28A07"/>
          <w:sz w:val="40"/>
          <w:szCs w:val="40"/>
        </w:rPr>
        <w:t xml:space="preserve">03  </w:t>
      </w:r>
      <w:r>
        <w:rPr>
          <w:rFonts w:ascii="Bebas Neue" w:cs="Bebas Neue" w:eastAsia="Bebas Neue" w:hAnsi="Bebas Neue"/>
          <w:b/>
          <w:bCs/>
          <w:caps/>
          <w:color w:val="111111"/>
          <w:sz w:val="40"/>
          <w:szCs w:val="40"/>
        </w:rPr>
        <w:t xml:space="preserve">Brand Tokens to Apply in UI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/>
          <w:bCs/>
          <w:color w:val="111111"/>
          <w:sz w:val="22"/>
          <w:szCs w:val="22"/>
        </w:rPr>
        <w:t xml:space="preserve">QEP Orange #F28A07 — primary actions, key headings, emphasis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Gear Gray #BFBFBF — secondary UI, borders, hardware details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/>
          <w:bCs/>
          <w:color w:val="111111"/>
          <w:sz w:val="22"/>
          <w:szCs w:val="22"/>
        </w:rPr>
        <w:t xml:space="preserve">Charcoal Black #111111 — primary background, headers, hero overlays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White #FFFFFF — type on dark, negative space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Dark Brown #2A2421 — rugged support tone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Headline: Bebas Neue or Barlow Condensed Bold | Subhead: Montserrat ExtraBold | Body: Inter | KPI: Montserrat Bold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Uppercase for CTAs, labels, section titles. High contrast. Clarity over decoration.</w:t>
      </w:r>
    </w:p>
    <w:p>
      <w:pPr>
        <w:pBdr>
          <w:bottom w:val="single" w:color="F28A07" w:sz="18" w:space="4"/>
        </w:pBdr>
        <w:spacing w:after="160" w:before="320" w:line="280"/>
      </w:pPr>
      <w:r>
        <w:rPr>
          <w:rFonts w:ascii="Bebas Neue" w:cs="Bebas Neue" w:eastAsia="Bebas Neue" w:hAnsi="Bebas Neue"/>
          <w:b/>
          <w:bCs/>
          <w:color w:val="F28A07"/>
          <w:sz w:val="40"/>
          <w:szCs w:val="40"/>
        </w:rPr>
        <w:t xml:space="preserve">04  </w:t>
      </w:r>
      <w:r>
        <w:rPr>
          <w:rFonts w:ascii="Bebas Neue" w:cs="Bebas Neue" w:eastAsia="Bebas Neue" w:hAnsi="Bebas Neue"/>
          <w:b/>
          <w:bCs/>
          <w:caps/>
          <w:color w:val="111111"/>
          <w:sz w:val="40"/>
          <w:szCs w:val="40"/>
        </w:rPr>
        <w:t xml:space="preserve">Next Check-In Prep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Ship the revamped command-center UI (Item #1 in queue) before next check-in so team can react to real layout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Have the QRM foundation migration script ready to run the moment Rylee’s data lands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Draft the financing-calculator disclaimer module so it’s ready to paste in the moment Angela’s Florida rule doc arrives</w:t>
      </w:r>
    </w:p>
    <w:p>
      <w:pPr>
        <w:spacing w:after="80" w:before="0" w:line="300"/>
        <w:ind w:left="240"/>
      </w:pPr>
      <w:r>
        <w:rPr>
          <w:rFonts w:ascii="Inter" w:cs="Inter" w:eastAsia="Inter" w:hAnsi="Inter"/>
          <w:b/>
          <w:bCs/>
          <w:color w:val="F28A07"/>
          <w:sz w:val="22"/>
          <w:szCs w:val="22"/>
        </w:rPr>
        <w:t xml:space="preserve">■  </w:t>
      </w:r>
      <w:r>
        <w:rPr>
          <w:rFonts w:ascii="Inter" w:cs="Inter" w:eastAsia="Inter" w:hAnsi="Inter"/>
          <w:b w:val="false"/>
          <w:bCs w:val="false"/>
          <w:color w:val="111111"/>
          <w:sz w:val="22"/>
          <w:szCs w:val="22"/>
        </w:rPr>
        <w:t xml:space="preserve">Prepare 2–3 UI options for the role-based command center to show Rylee — let her pick rather than iterate blind</w:t>
      </w:r>
    </w:p>
    <w:p>
      <w:pPr>
        <w:pBdr>
          <w:top w:val="single" w:color="F28A07" w:sz="12" w:space="10"/>
        </w:pBdr>
        <w:spacing w:after="0" w:before="400"/>
        <w:jc w:val="center"/>
      </w:pPr>
      <w:r>
        <w:rPr>
          <w:rFonts w:ascii="Montserrat" w:cs="Montserrat" w:eastAsia="Montserrat" w:hAnsi="Montserrat"/>
          <w:b/>
          <w:bCs/>
          <w:caps/>
          <w:color w:val="F28A07"/>
          <w:sz w:val="16"/>
          <w:szCs w:val="16"/>
        </w:rPr>
        <w:t xml:space="preserve">QUALITY EQUIPMENT &amp; PARTS INC.  |  </w:t>
      </w:r>
      <w:r>
        <w:rPr>
          <w:rFonts w:ascii="Montserrat" w:cs="Montserrat" w:eastAsia="Montserrat" w:hAnsi="Montserrat"/>
          <w:caps/>
          <w:color w:val="BFBFBF"/>
          <w:sz w:val="16"/>
          <w:szCs w:val="16"/>
        </w:rPr>
        <w:t xml:space="preserve">LAKE CITY &amp; OCALA, FLORIDA  |  </w:t>
      </w:r>
      <w:r>
        <w:rPr>
          <w:rFonts w:ascii="Montserrat" w:cs="Montserrat" w:eastAsia="Montserrat" w:hAnsi="Montserrat"/>
          <w:b/>
          <w:bCs/>
          <w:caps/>
          <w:color w:val="111111"/>
          <w:sz w:val="16"/>
          <w:szCs w:val="16"/>
        </w:rPr>
        <w:t xml:space="preserve">BUILT BY BLACKROCK AI</w:t>
      </w:r>
    </w:p>
    <w:sectPr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BlackRock AI Action Sheet — QEP</dc:title>
  <dc:creator>BlackRock AI</dc:creator>
  <cp:lastModifiedBy>Un-named</cp:lastModifiedBy>
  <cp:revision>1</cp:revision>
  <dcterms:created xsi:type="dcterms:W3CDTF">2026-04-23T15:26:38.466Z</dcterms:created>
  <dcterms:modified xsi:type="dcterms:W3CDTF">2026-04-23T15:26:38.466Z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