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D26F2A"/>
          <w:spacing w:val="30"/>
          <w:sz w:val="18"/>
          <w:szCs w:val="18"/>
        </w:rPr>
        <w:t xml:space="preserve">QEP OS · FINANCE &amp; ACCOUNTING · ROUND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F2F2F"/>
          <w:sz w:val="34"/>
          <w:szCs w:val="34"/>
        </w:rPr>
        <w:t xml:space="preserve">Follow-Up Questions — QEP Responses (Addendum)</w:t>
      </w:r>
    </w:p>
    <w:p>
      <w:pPr>
        <w:pBdr>
          <w:bottom w:val="single" w:color="D26F2A" w:sz="14" w:space="4"/>
        </w:pBdr>
        <w:spacing w:after="15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Supplement to the Finance &amp; Accounting Questionnaire Responses  ·  From Ryan McKenzie (President) &amp; Tina McKenzie (VP &amp; Controller), Quality Equipment &amp; Parts</w:t>
      </w:r>
    </w:p>
    <w:p>
      <w:pPr>
        <w:spacing w:after="120"/>
      </w:pPr>
      <w:r>
        <w:rPr>
          <w:rFonts w:ascii="Arial" w:cs="Arial" w:eastAsia="Arial" w:hAnsi="Arial"/>
          <w:color w:val="2F2F2F"/>
          <w:sz w:val="21"/>
          <w:szCs w:val="21"/>
        </w:rPr>
        <w:t xml:space="preserve">Six follow-ups that came out of the first responses — none repeat the earlier rounds. Each answer notes the section of the main document it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ties to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, so this addendum reads alongside it.</w:t>
      </w:r>
    </w:p>
    <w:p>
      <w:pPr>
        <w:pBdr>
          <w:bottom w:val="single" w:color="D26F2A" w:sz="8" w:space="3"/>
        </w:pBdr>
        <w:spacing w:after="70" w:before="300"/>
      </w:pPr>
      <w:r>
        <w:rPr>
          <w:rFonts w:ascii="Arial" w:cs="Arial" w:eastAsia="Arial" w:hAnsi="Arial"/>
          <w:b/>
          <w:bCs/>
          <w:color w:val="D26F2A"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color w:val="2F2F2F"/>
          <w:sz w:val="23"/>
          <w:szCs w:val="23"/>
        </w:rPr>
        <w:t xml:space="preserve">Closed-Quarter Reopen — Who Can Unlock a Locked Quarter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B6B6B"/>
          <w:sz w:val="17"/>
          <w:szCs w:val="17"/>
        </w:rPr>
        <w:t xml:space="preserve">Ties to:  </w:t>
      </w: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Section 7.3 (quarterly close) and the Section 9.3 approval matrix. Distinct from where CPA adjustments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2E7D32" w:sz="18"/>
              <w:bottom w:val="single" w:color="DDDDDD" w:sz="4"/>
              <w:right w:val="single" w:color="DDDDDD" w:sz="4"/>
            </w:tcBorders>
            <w:shd w:fill="F4F8F4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QEP RESPONSE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Reopening a locked quarter requires both Ryan and Tina to sign off — dual authorization, stricter than a normal close.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Every reopen logs who did it and why (audit trail). No system-forced CPA notification is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6B6B"/>
                <w:sz w:val="18"/>
                <w:szCs w:val="18"/>
              </w:rPr>
              <w:t xml:space="preserve">For the working session:  </w:t>
            </w: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The reopen log should capture timestamp, both approvers, and reason as a permanent record. Recommend a practical habit of notifying the CPA on any reopen even though QEP OS won't force it, so her copy and the system don't drift.</w:t>
            </w:r>
          </w:p>
        </w:tc>
      </w:tr>
    </w:tbl>
    <w:p>
      <w:pPr>
        <w:pBdr>
          <w:bottom w:val="single" w:color="D26F2A" w:sz="8" w:space="3"/>
        </w:pBdr>
        <w:spacing w:after="70" w:before="300"/>
      </w:pPr>
      <w:r>
        <w:rPr>
          <w:rFonts w:ascii="Arial" w:cs="Arial" w:eastAsia="Arial" w:hAnsi="Arial"/>
          <w:b/>
          <w:bCs/>
          <w:color w:val="D26F2A"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color w:val="2F2F2F"/>
          <w:sz w:val="23"/>
          <w:szCs w:val="23"/>
        </w:rPr>
        <w:t xml:space="preserve">Invoice Numbering Rollout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B6B6B"/>
          <w:sz w:val="17"/>
          <w:szCs w:val="17"/>
        </w:rPr>
        <w:t xml:space="preserve">Ties to:  </w:t>
      </w: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Section 3.1 — the 01-E1000 format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2E7D32" w:sz="18"/>
              <w:bottom w:val="single" w:color="DDDDDD" w:sz="4"/>
              <w:right w:val="single" w:color="DDDDDD" w:sz="4"/>
            </w:tcBorders>
            <w:shd w:fill="F4F8F4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QEP RESPONSE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Sequence runs straight through and never resets — every invoice gets a permanently unique, ever-climbing number.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Numbering starts back at 1, zero-padded, per branch + department. Example: 02-E00001 = Belleview Equipment, invoice 1. Format: [Branch]-[Department][5-digit sequence].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Legacy collision is not a concern: the branch/department signifier makes QEP OS numbers structurally distinct from legacy IntelliDealer numbers, so parallel-run duplicates can't occur.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6B6B"/>
                <w:sz w:val="18"/>
                <w:szCs w:val="18"/>
              </w:rPr>
              <w:t xml:space="preserve">For the working session:  </w:t>
            </w: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Confirm the zero-padding width is future-proof (5 digits = up to 99,999 per branch/department) so the field never has to re-pad.</w:t>
            </w:r>
          </w:p>
        </w:tc>
      </w:tr>
    </w:tbl>
    <w:p>
      <w:pPr>
        <w:pBdr>
          <w:bottom w:val="single" w:color="D26F2A" w:sz="8" w:space="3"/>
        </w:pBdr>
        <w:spacing w:after="70" w:before="300"/>
      </w:pPr>
      <w:r>
        <w:rPr>
          <w:rFonts w:ascii="Arial" w:cs="Arial" w:eastAsia="Arial" w:hAnsi="Arial"/>
          <w:b/>
          <w:bCs/>
          <w:color w:val="D26F2A"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color w:val="2F2F2F"/>
          <w:sz w:val="23"/>
          <w:szCs w:val="23"/>
        </w:rPr>
        <w:t xml:space="preserve">Master Record Match Key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B6B6B"/>
          <w:sz w:val="17"/>
          <w:szCs w:val="17"/>
        </w:rPr>
        <w:t xml:space="preserve">Ties to:  </w:t>
      </w: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Section 10.4 — customer/vendor master migration from IntelliDealer.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2E7D32" w:sz="18"/>
              <w:bottom w:val="single" w:color="DDDDDD" w:sz="4"/>
              <w:right w:val="single" w:color="DDDDDD" w:sz="4"/>
            </w:tcBorders>
            <w:shd w:fill="F4F8F4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QEP RESPONSE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Match field: the IntelliDealer account number — the unique key both customer and vendor records port on, so open balances attach cleanly with no duplicates.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Recommended handling (Ryan to confirm): assign a fresh QEP OS ID and keep the IntelliDealer account number as a permanent cross-reference on each record. This keeps full QEP OS → IntelliDealer traceability through the parallel-run reconciliations, while giving QEP OS a clean go-forward identity that isn't chained to the system being retired.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26F2A"/>
                <w:sz w:val="18"/>
                <w:szCs w:val="18"/>
              </w:rPr>
              <w:t xml:space="preserve">Still to confirm:  </w:t>
            </w: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Whether to carry the IntelliDealer number forward as the ID, or mint a new QEP OS ID with it kept as cross-reference (recommended).</w:t>
            </w:r>
          </w:p>
        </w:tc>
      </w:tr>
    </w:tbl>
    <w:p>
      <w:pPr>
        <w:pBdr>
          <w:bottom w:val="single" w:color="D26F2A" w:sz="8" w:space="3"/>
        </w:pBdr>
        <w:spacing w:after="70" w:before="300"/>
      </w:pPr>
      <w:r>
        <w:rPr>
          <w:rFonts w:ascii="Arial" w:cs="Arial" w:eastAsia="Arial" w:hAnsi="Arial"/>
          <w:b/>
          <w:bCs/>
          <w:color w:val="D26F2A"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color w:val="2F2F2F"/>
          <w:sz w:val="23"/>
          <w:szCs w:val="23"/>
        </w:rPr>
        <w:t xml:space="preserve">Rental Tax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B6B6B"/>
          <w:sz w:val="17"/>
          <w:szCs w:val="17"/>
        </w:rPr>
        <w:t xml:space="preserve">Ties to:  </w:t>
      </w: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Section 3.5 — which covered sales-tax sourcing, not rentals.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2E7D32" w:sz="18"/>
              <w:bottom w:val="single" w:color="DDDDDD" w:sz="4"/>
              <w:right w:val="single" w:color="DDDDDD" w:sz="4"/>
            </w:tcBorders>
            <w:shd w:fill="F4F8F4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QEP RESPONSE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Florida rental tax is charged on rental invoices, but some rentals are exempt.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Sourcing: delivery/use location — the same destination-based rule as sales.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Exemptions: same rules as sales; the customer-profile exemption flag applies to rentals as well. The county-rate table built for destination-sourced sales does double duty for rentals, including the monthly DR-15 breakout.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6B6B"/>
                <w:sz w:val="18"/>
                <w:szCs w:val="18"/>
              </w:rPr>
              <w:t xml:space="preserve">For the working session:  </w:t>
            </w: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Under Florida rules, an exemption that covers a purchase doesn't always cover a rental of the same equipment. Recommend Tina confirm each exempt customer's certificate actually covers rental use, not just sales.</w:t>
            </w:r>
          </w:p>
        </w:tc>
      </w:tr>
    </w:tbl>
    <w:p>
      <w:pPr>
        <w:pBdr>
          <w:bottom w:val="single" w:color="D26F2A" w:sz="8" w:space="3"/>
        </w:pBdr>
        <w:spacing w:after="70" w:before="300"/>
      </w:pPr>
      <w:r>
        <w:rPr>
          <w:rFonts w:ascii="Arial" w:cs="Arial" w:eastAsia="Arial" w:hAnsi="Arial"/>
          <w:b/>
          <w:bCs/>
          <w:color w:val="D26F2A"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color w:val="2F2F2F"/>
          <w:sz w:val="23"/>
          <w:szCs w:val="23"/>
        </w:rPr>
        <w:t xml:space="preserve">Trade-In Over-Allowance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B6B6B"/>
          <w:sz w:val="17"/>
          <w:szCs w:val="17"/>
        </w:rPr>
        <w:t xml:space="preserve">Ties to:  </w:t>
      </w: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Section 6.3 — trade booked at allowance minus over-allowance; and the 9.3 approval matrix.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2E7D32" w:sz="18"/>
              <w:bottom w:val="single" w:color="DDDDDD" w:sz="4"/>
              <w:right w:val="single" w:color="DDDDDD" w:sz="4"/>
            </w:tcBorders>
            <w:shd w:fill="F4F8F4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QEP RESPONSE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The over-allowance is set as the gap between the allowance shown to the customer and the machine's true/wholesale value.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It is internal only — the customer never sees it. They see the full allowance; QEP OS internally splits it into true value (used-unit cost basis) and over-allowance (a reduction of the new-unit sale margin).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Reconditioning added to the trade's cost basis via internal WO carries a soft cap — manager approval is required above a set limit.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26F2A"/>
                <w:sz w:val="18"/>
                <w:szCs w:val="18"/>
              </w:rPr>
              <w:t xml:space="preserve">Still to confirm:  </w:t>
            </w: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The reconditioning soft-cap dollar threshold (new row for the approval matrix: “recon over $X on a trade → manager approval”).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6B6B"/>
                <w:sz w:val="18"/>
                <w:szCs w:val="18"/>
              </w:rPr>
              <w:t xml:space="preserve">For the working session:  </w:t>
            </w: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Record the over-allowance as a linked adjustment (trade record ↔ new-unit deal) so the CPA/auditor can see why the used unit's basis is below the stated allowance, even though it's invisible to the customer.</w:t>
            </w:r>
          </w:p>
        </w:tc>
      </w:tr>
    </w:tbl>
    <w:p>
      <w:pPr>
        <w:pBdr>
          <w:bottom w:val="single" w:color="D26F2A" w:sz="8" w:space="3"/>
        </w:pBdr>
        <w:spacing w:after="70" w:before="300"/>
      </w:pPr>
      <w:r>
        <w:rPr>
          <w:rFonts w:ascii="Arial" w:cs="Arial" w:eastAsia="Arial" w:hAnsi="Arial"/>
          <w:b/>
          <w:bCs/>
          <w:color w:val="D26F2A"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color w:val="2F2F2F"/>
          <w:sz w:val="23"/>
          <w:szCs w:val="23"/>
        </w:rPr>
        <w:t xml:space="preserve">Finance Charges &amp; Dunning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B6B6B"/>
          <w:sz w:val="17"/>
          <w:szCs w:val="17"/>
        </w:rPr>
        <w:t xml:space="preserve">Ties to:  </w:t>
      </w: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Section 4.1 — statements on the 1st, 1.5% at 30 days, cutoff at 60.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2E7D32" w:sz="18"/>
              <w:bottom w:val="single" w:color="DDDDDD" w:sz="4"/>
              <w:right w:val="single" w:color="DDDDDD" w:sz="4"/>
            </w:tcBorders>
            <w:shd w:fill="F4F8F4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QEP RESPONSE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The 1.5% finance charge auto-posts at 30 days past due — no manual review; QEP OS applies it automatically when a balance crosses 30 days.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An automated email reminder goes out between 30 and 60 days. Full cycle: statement on the 1st → auto finance charge + automated email reminder at 30 → auto-hold/cutoff at 60. All three triggers fire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26F2A"/>
                <w:sz w:val="18"/>
                <w:szCs w:val="18"/>
              </w:rPr>
              <w:t xml:space="preserve">Still to confirm:  </w:t>
            </w: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Whether the 1.5% applies to overdue principal only, or also compounds on a prior month's unpaid finance charge (capped at the Florida lawful maximum).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6B6B"/>
                <w:sz w:val="18"/>
                <w:szCs w:val="18"/>
              </w:rPr>
              <w:t xml:space="preserve">For the working session:  </w:t>
            </w: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Optionally a second, firmer reminder nearer 60 days if you want two touches before cutoff.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6F2A" w:sz="6"/>
              <w:left w:val="single" w:color="D26F2A" w:sz="6"/>
              <w:bottom w:val="single" w:color="D26F2A" w:sz="6"/>
              <w:right w:val="single" w:color="D26F2A" w:sz="6"/>
            </w:tcBorders>
            <w:shd w:fill="FB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D26F2A"/>
                <w:sz w:val="22"/>
                <w:szCs w:val="22"/>
              </w:rPr>
              <w:t xml:space="preserve">New open items from Round 3</w:t>
            </w:r>
          </w:p>
          <w:p>
            <w:pPr>
              <w:spacing w:after="40"/>
              <w:ind w:left="360" w:hanging="200"/>
            </w:pPr>
            <w:r>
              <w:rPr>
                <w:rFonts w:ascii="Arial" w:cs="Arial" w:eastAsia="Arial" w:hAnsi="Arial"/>
                <w:color w:val="D26F2A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Master-record ID decision: carry the IntelliDealer number forward as the ID, or mint a new QEP OS ID with it as cross-reference (recommended).</w:t>
            </w:r>
          </w:p>
          <w:p>
            <w:pPr>
              <w:spacing w:after="40"/>
              <w:ind w:left="360" w:hanging="200"/>
            </w:pPr>
            <w:r>
              <w:rPr>
                <w:rFonts w:ascii="Arial" w:cs="Arial" w:eastAsia="Arial" w:hAnsi="Arial"/>
                <w:color w:val="D26F2A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Trade-in reconditioning soft-cap dollar threshold (for the approval matrix).</w:t>
            </w:r>
          </w:p>
          <w:p>
            <w:pPr>
              <w:spacing w:after="40"/>
              <w:ind w:left="360" w:hanging="200"/>
            </w:pPr>
            <w:r>
              <w:rPr>
                <w:rFonts w:ascii="Arial" w:cs="Arial" w:eastAsia="Arial" w:hAnsi="Arial"/>
                <w:color w:val="D26F2A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Finance-charge basis: principal-only vs. compounding on unpaid prior finance charges.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6B6B6B"/>
          <w:sz w:val="19"/>
          <w:szCs w:val="19"/>
        </w:rPr>
        <w:t xml:space="preserve">Addendum to the main responses — ready for the BlackRock AI finance session.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6B6B6B"/>
        <w:sz w:val="16"/>
        <w:szCs w:val="16"/>
      </w:rPr>
      <w:t xml:space="preserve">Quality Equipment &amp; Parts  ·  Finance &amp; Accounting Responses — Round 3 Addendum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9360"/>
    </w:tblGrid>
    <w:tr>
      <w:tc>
        <w:tcPr>
          <w:tcW w:type="dxa" w:w="9360"/>
          <w:tcBorders>
            <w:bottom w:val="single" w:color="D26F2A" w:sz="8"/>
          </w:tcBorders>
          <w:tcMar>
            <w:top w:type="dxa" w:w="20"/>
            <w:left w:type="dxa" w:w="0"/>
            <w:bottom w:type="dxa" w:w="80"/>
            <w:right w:type="dxa" w:w="0"/>
          </w:tcMar>
        </w:tcPr>
        <w:p>
          <w:r>
            <w:drawing>
              <wp:inline distT="0" distB="0" distL="0" distR="0">
                <wp:extent cx="116205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2F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87ae2c23043fbf8e2030696242c3efc537c280e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2026-07-02T20:23:22.773Z</dcterms:created>
  <dcterms:modified xsi:type="dcterms:W3CDTF">2026-07-02T20:23:22.785Z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