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color w:val="4A6FA5"/>
          <w:sz w:val="22"/>
          <w:szCs w:val="22"/>
        </w:rPr>
        <w:t xml:space="preserve">QEP OS — Owner &amp; Management Discovery</w:t>
      </w:r>
    </w:p>
    <w:p>
      <w:pPr>
        <w:spacing w:after="80"/>
      </w:pPr>
      <w:r>
        <w:rPr>
          <w:rFonts w:ascii="Calibri" w:cs="Calibri" w:eastAsia="Calibri" w:hAnsi="Calibri"/>
          <w:b/>
          <w:bCs/>
          <w:color w:val="1E3A5F"/>
          <w:sz w:val="44"/>
          <w:szCs w:val="44"/>
        </w:rPr>
        <w:t xml:space="preserve">OEM Price Feeds</w:t>
      </w:r>
    </w:p>
    <w:p>
      <w:pPr>
        <w:spacing w:after="240"/>
      </w:pPr>
      <w:r>
        <w:rPr>
          <w:i/>
          <w:iCs/>
          <w:color w:val="5C6B7A"/>
          <w:sz w:val="26"/>
          <w:szCs w:val="26"/>
        </w:rPr>
        <w:t xml:space="preserve">Tier 0 — Manufacturer pricing intelligence and automated re-pricing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8D3E0" w:sz="4"/>
              <w:left w:val="single" w:color="C8D3E0" w:sz="4"/>
              <w:bottom w:val="single" w:color="C8D3E0" w:sz="4"/>
              <w:right w:val="single" w:color="C8D3E0" w:sz="4"/>
            </w:tcBorders>
            <w:shd w:fill="4A6FA5" w:color="auto" w:val="clear"/>
            <w:tcMar>
              <w:top w:type="dxa" w:w="100"/>
              <w:left w:type="dxa" w:w="140"/>
              <w:bottom w:type="dxa" w:w="100"/>
              <w:right w:type="dxa" w:w="140"/>
            </w:tcMar>
            <w:vAlign w:val="top"/>
          </w:tcPr>
          <w:p>
            <w:r>
              <w:rPr>
                <w:b/>
                <w:bCs/>
                <w:color w:val="FFFFFF"/>
                <w:sz w:val="22"/>
                <w:szCs w:val="22"/>
              </w:rPr>
              <w:t xml:space="preserve">Audience</w:t>
            </w:r>
          </w:p>
        </w:tc>
        <w:tc>
          <w:tcPr>
            <w:tcW w:type="dxa" w:w="70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Dealership Owner / Principal, Sales Leadership, Operations Leadership</w:t>
            </w:r>
          </w:p>
        </w:tc>
      </w:tr>
      <w:tr>
        <w:trPr>
          <w:tblHeader w:val="false"/>
        </w:trPr>
        <w:tc>
          <w:tcPr>
            <w:tcW w:type="dxa" w:w="2300"/>
            <w:tcBorders>
              <w:top w:val="single" w:color="C8D3E0" w:sz="4"/>
              <w:left w:val="single" w:color="C8D3E0" w:sz="4"/>
              <w:bottom w:val="single" w:color="C8D3E0" w:sz="4"/>
              <w:right w:val="single" w:color="C8D3E0" w:sz="4"/>
            </w:tcBorders>
            <w:shd w:fill="4A6FA5" w:color="auto" w:val="clear"/>
            <w:tcMar>
              <w:top w:type="dxa" w:w="100"/>
              <w:left w:type="dxa" w:w="140"/>
              <w:bottom w:type="dxa" w:w="100"/>
              <w:right w:type="dxa" w:w="140"/>
            </w:tcMar>
            <w:vAlign w:val="top"/>
          </w:tcPr>
          <w:p>
            <w:r>
              <w:rPr>
                <w:b/>
                <w:bCs/>
                <w:color w:val="FFFFFF"/>
                <w:sz w:val="22"/>
                <w:szCs w:val="22"/>
              </w:rPr>
              <w:t xml:space="preserve">Date issued</w:t>
            </w:r>
          </w:p>
        </w:tc>
        <w:tc>
          <w:tcPr>
            <w:tcW w:type="dxa" w:w="70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May 17, 2026</w:t>
            </w:r>
          </w:p>
        </w:tc>
      </w:tr>
    </w:tbl>
    <w:p>
      <w:pPr>
        <w:spacing w:after="160"/>
      </w:pPr>
      <w:r>
        <w:t xml:space="preserve"/>
      </w:r>
    </w:p>
    <w:p>
      <w:pPr>
        <w:spacing w:after="200"/>
      </w:pPr>
      <w:r>
        <w:rPr>
          <w:i/>
          <w:iCs/>
          <w:color w:val="5C6B7A"/>
          <w:sz w:val="22"/>
          <w:szCs w:val="22"/>
        </w:rPr>
        <w:t xml:space="preserve">Phase 1 of an automated system that ingests manufacturer price sheets, identifies which open quotes are now mispriced, and surfaces the impact to reps the next morning — with margin-floor protection built in.</w:t>
      </w:r>
    </w:p>
    <w:p>
      <w:pPr>
        <w:pStyle w:val="Heading2"/>
      </w:pPr>
      <w:r>
        <w:rPr>
          <w:rFonts w:ascii="Calibri" w:cs="Calibri" w:eastAsia="Calibri" w:hAnsi="Calibri"/>
          <w:b/>
          <w:bCs/>
          <w:color w:val="1E3A5F"/>
        </w:rPr>
        <w:t xml:space="preserve">How to use this document</w:t>
      </w:r>
    </w:p>
    <w:p>
      <w:pPr>
        <w:spacing w:after="120"/>
      </w:pPr>
      <w:r>
        <w:rPr>
          <w:color w:val="1A1A1A"/>
          <w:sz w:val="22"/>
          <w:szCs w:val="22"/>
        </w:rPr>
        <w:t xml:space="preserve">Each Decision Point in this document is a question only the leadership team can answer. Engineering will build the QEP OS quote system around the rulebook you record here.</w:t>
      </w:r>
    </w:p>
    <w:p>
      <w:pPr>
        <w:spacing w:after="120"/>
      </w:pPr>
      <w:r>
        <w:rPr>
          <w:color w:val="1A1A1A"/>
          <w:sz w:val="22"/>
          <w:szCs w:val="22"/>
        </w:rPr>
        <w:t xml:space="preserve">For each Decision Point, read the question, scan the options table, note the engineering team’s recommended starting point, then write your answer in the amber-bordered “Your answer” box below the recommendation. There are no wrong answers; there are only undocumented ones.</w:t>
      </w:r>
    </w:p>
    <w:p>
      <w:pPr>
        <w:spacing w:after="160"/>
      </w:pPr>
      <w:r>
        <w:rPr>
          <w:color w:val="1A1A1A"/>
          <w:sz w:val="22"/>
          <w:szCs w:val="22"/>
        </w:rPr>
        <w:t xml:space="preserve">Return the completed document by reply email, an inline meeting review, or a recorded session. Anything you leave blank will default to the recommended starting point with an “owner-deferred” flag in the system so you can override later.</w:t>
      </w:r>
    </w:p>
    <w:p>
      <w:r>
        <w:br w:type="page"/>
      </w:r>
    </w:p>
    <w:p>
      <w:pPr>
        <w:pStyle w:val="Heading1"/>
      </w:pPr>
      <w:r>
        <w:rPr>
          <w:rFonts w:ascii="Calibri" w:cs="Calibri" w:eastAsia="Calibri" w:hAnsi="Calibri"/>
          <w:b/>
          <w:bCs/>
          <w:color w:val="1E3A5F"/>
        </w:rPr>
        <w:t xml:space="preserve">1. Why this document exists</w:t>
      </w:r>
    </w:p>
    <w:p>
      <w:pPr>
        <w:spacing w:after="120"/>
      </w:pPr>
      <w:r>
        <w:rPr>
          <w:color w:val="1A1A1A"/>
          <w:sz w:val="22"/>
          <w:szCs w:val="22"/>
        </w:rPr>
        <w:t xml:space="preserve">Today, when an equipment manufacturer raises list prices, lowers freight, or changes a rebate stack, nothing in QEP OS notices. A rep can have a $186,000 open quote that is suddenly four points under-priced and the rep will not know until either the customer accepts the quote and we absorb the margin loss, or the rep manually re-checks the manufacturer’s price sheet before closing.</w:t>
      </w:r>
    </w:p>
    <w:p>
      <w:pPr>
        <w:spacing w:after="120"/>
      </w:pPr>
      <w:r>
        <w:rPr>
          <w:color w:val="1A1A1A"/>
          <w:sz w:val="22"/>
          <w:szCs w:val="22"/>
        </w:rPr>
        <w:t xml:space="preserve">Every dealer principal we have asked estimates this margin leak conservatively at “five figures a year, easy.”</w:t>
      </w:r>
    </w:p>
    <w:p>
      <w:pPr>
        <w:spacing w:after="120"/>
      </w:pPr>
      <w:r>
        <w:rPr>
          <w:color w:val="1A1A1A"/>
          <w:sz w:val="22"/>
          <w:szCs w:val="22"/>
        </w:rPr>
        <w:t xml:space="preserve">This document defines the first phase of an OEM Price Feed system inside QEP OS that closes that leak. The Decision Points in Section 4 are the calls only ownership can make. Engineering will not start building until each one has a recorded answer.</w:t>
      </w:r>
    </w:p>
    <w:p>
      <w:pPr>
        <w:pStyle w:val="Heading1"/>
      </w:pPr>
      <w:r>
        <w:rPr>
          <w:rFonts w:ascii="Calibri" w:cs="Calibri" w:eastAsia="Calibri" w:hAnsi="Calibri"/>
          <w:b/>
          <w:bCs/>
          <w:color w:val="1E3A5F"/>
        </w:rPr>
        <w:t xml:space="preserve">2. What we are proposing to build</w:t>
      </w:r>
    </w:p>
    <w:p>
      <w:pPr>
        <w:pStyle w:val="Heading3"/>
      </w:pPr>
      <w:r>
        <w:rPr>
          <w:rFonts w:ascii="Calibri" w:cs="Calibri" w:eastAsia="Calibri" w:hAnsi="Calibri"/>
          <w:b/>
          <w:bCs/>
          <w:color w:val="4A6FA5"/>
        </w:rPr>
        <w:t xml:space="preserve">The system in plain English</w:t>
      </w:r>
    </w:p>
    <w:p>
      <w:pPr>
        <w:spacing w:after="120"/>
      </w:pPr>
      <w:r>
        <w:rPr>
          <w:color w:val="1A1A1A"/>
          <w:sz w:val="22"/>
          <w:szCs w:val="22"/>
        </w:rPr>
        <w:t xml:space="preserve">Imagine a quiet background process that:</w:t>
      </w:r>
    </w:p>
    <w:p>
      <w:pPr>
        <w:pStyle w:val="ListParagraph"/>
        <w:numPr>
          <w:ilvl w:val="0"/>
          <w:numId w:val="2"/>
        </w:numPr>
        <w:spacing w:after="80"/>
      </w:pPr>
      <w:r>
        <w:rPr>
          <w:color w:val="1A1A1A"/>
          <w:sz w:val="22"/>
          <w:szCs w:val="22"/>
        </w:rPr>
        <w:t xml:space="preserve">Ingests the latest price sheet from each manufacturer the moment it lands (CSV, PDF, email attachment, or admin upload).</w:t>
      </w:r>
    </w:p>
    <w:p>
      <w:pPr>
        <w:pStyle w:val="ListParagraph"/>
        <w:numPr>
          <w:ilvl w:val="0"/>
          <w:numId w:val="2"/>
        </w:numPr>
        <w:spacing w:after="80"/>
      </w:pPr>
      <w:r>
        <w:rPr>
          <w:color w:val="1A1A1A"/>
          <w:sz w:val="22"/>
          <w:szCs w:val="22"/>
        </w:rPr>
        <w:t xml:space="preserve">Compares it against the last known prices — what went up, what went down, what is new, what was discontinued.</w:t>
      </w:r>
    </w:p>
    <w:p>
      <w:pPr>
        <w:pStyle w:val="ListParagraph"/>
        <w:numPr>
          <w:ilvl w:val="0"/>
          <w:numId w:val="2"/>
        </w:numPr>
        <w:spacing w:after="80"/>
      </w:pPr>
      <w:r>
        <w:rPr>
          <w:color w:val="1A1A1A"/>
          <w:sz w:val="22"/>
          <w:szCs w:val="22"/>
        </w:rPr>
        <w:t xml:space="preserve">Scans every open quote and identifies which lines are now mispriced.</w:t>
      </w:r>
    </w:p>
    <w:p>
      <w:pPr>
        <w:pStyle w:val="ListParagraph"/>
        <w:numPr>
          <w:ilvl w:val="0"/>
          <w:numId w:val="2"/>
        </w:numPr>
        <w:spacing w:after="80"/>
      </w:pPr>
      <w:r>
        <w:rPr>
          <w:color w:val="1A1A1A"/>
          <w:sz w:val="22"/>
          <w:szCs w:val="22"/>
        </w:rPr>
        <w:t xml:space="preserve">Surfaces the impact on the rep’s Today screen the next morning with a one-line summary, e.g. “OEM raised list 4% — 6 of your open quotes affected. Re-price all?”</w:t>
      </w:r>
    </w:p>
    <w:p>
      <w:pPr>
        <w:pStyle w:val="ListParagraph"/>
        <w:numPr>
          <w:ilvl w:val="0"/>
          <w:numId w:val="2"/>
        </w:numPr>
        <w:spacing w:after="80"/>
      </w:pPr>
      <w:r>
        <w:rPr>
          <w:color w:val="1A1A1A"/>
          <w:sz w:val="22"/>
          <w:szCs w:val="22"/>
        </w:rPr>
        <w:t xml:space="preserve">Drafts new quote variants ready for the rep to review and send, with margin-floor protection baked in.</w:t>
      </w:r>
    </w:p>
    <w:p>
      <w:pPr>
        <w:pStyle w:val="ListParagraph"/>
        <w:numPr>
          <w:ilvl w:val="0"/>
          <w:numId w:val="2"/>
        </w:numPr>
        <w:spacing w:after="80"/>
      </w:pPr>
      <w:r>
        <w:rPr>
          <w:color w:val="1A1A1A"/>
          <w:sz w:val="22"/>
          <w:szCs w:val="22"/>
        </w:rPr>
        <w:t xml:space="preserve">Tracks which reps acted, which did not, and how much margin was protected.</w:t>
      </w:r>
    </w:p>
    <w:p>
      <w:pPr>
        <w:spacing w:after="80"/>
      </w:pPr>
      <w:r>
        <w:t xml:space="preserve"/>
      </w:r>
    </w:p>
    <w:p>
      <w:pPr>
        <w:pStyle w:val="Heading3"/>
      </w:pPr>
      <w:r>
        <w:rPr>
          <w:rFonts w:ascii="Calibri" w:cs="Calibri" w:eastAsia="Calibri" w:hAnsi="Calibri"/>
          <w:b/>
          <w:bCs/>
          <w:color w:val="4A6FA5"/>
        </w:rPr>
        <w:t xml:space="preserve">Phases</w:t>
      </w:r>
    </w:p>
    <w:p>
      <w:pPr>
        <w:numPr>
          <w:ilvl w:val="0"/>
          <w:numId w:val="2"/>
        </w:numPr>
        <w:spacing w:after="80"/>
      </w:pPr>
      <w:r>
        <w:rPr>
          <w:sz w:val="22"/>
          <w:b/>
          <w:rFonts w:ascii="Calibri" w:hAnsi="Calibri"/>
        </w:rPr>
        <w:t xml:space="preserve">Phase 1: </w:t>
      </w:r>
      <w:r>
        <w:rPr>
          <w:sz w:val="22"/>
          <w:rFonts w:ascii="Calibri" w:hAnsi="Calibri"/>
        </w:rPr>
        <w:t xml:space="preserve">Manual CSV upload by an operations admin, diff against the last known prices, impact surfacing to the rep, and rep-driven approval to apply the re-price.</w:t>
      </w:r>
    </w:p>
    <w:p>
      <w:pPr>
        <w:numPr>
          <w:ilvl w:val="0"/>
          <w:numId w:val="2"/>
        </w:numPr>
        <w:spacing w:after="80"/>
      </w:pPr>
      <w:r>
        <w:rPr>
          <w:sz w:val="22"/>
          <w:b/>
          <w:rFonts w:ascii="Calibri" w:hAnsi="Calibri"/>
        </w:rPr>
        <w:t xml:space="preserve">Phase 2: </w:t>
      </w:r>
      <w:r>
        <w:rPr>
          <w:sz w:val="22"/>
          <w:rFonts w:ascii="Calibri" w:hAnsi="Calibri"/>
        </w:rPr>
        <w:t xml:space="preserve">Auto-ingest from a dedicated oem-pricing@yourdealer.com mailbox using the M365 inbox sync already in place.</w:t>
      </w:r>
    </w:p>
    <w:p>
      <w:pPr>
        <w:numPr>
          <w:ilvl w:val="0"/>
          <w:numId w:val="2"/>
        </w:numPr>
        <w:spacing w:after="80"/>
      </w:pPr>
      <w:r>
        <w:rPr>
          <w:sz w:val="22"/>
          <w:b/>
          <w:rFonts w:ascii="Calibri" w:hAnsi="Calibri"/>
        </w:rPr>
        <w:t xml:space="preserve">Phase 3: </w:t>
      </w:r>
      <w:r>
        <w:rPr>
          <w:sz w:val="22"/>
          <w:rFonts w:ascii="Calibri" w:hAnsi="Calibri"/>
        </w:rPr>
        <w:t xml:space="preserve">Predictive — flag manufacturers likely to raise prices in the near term based on freight indices, raw material costs, and prior cadence.</w:t>
      </w:r>
    </w:p>
    <w:p>
      <w:r>
        <w:rPr>
          <w:sz w:val="22"/>
          <w:b/>
          <w:rFonts w:ascii="Calibri" w:hAnsi="Calibri"/>
        </w:rPr>
        <w:t xml:space="preserve">This document covers Phase 1. </w:t>
      </w:r>
      <w:r>
        <w:rPr>
          <w:sz w:val="22"/>
          <w:rFonts w:ascii="Calibri" w:hAnsi="Calibri"/>
        </w:rPr>
        <w:t xml:space="preserve">Phases 2 and 3 will receive their own management review when they come up.</w:t>
      </w:r>
    </w:p>
    <w:p>
      <w:pPr>
        <w:spacing w:after="80"/>
      </w:pPr>
      <w:r>
        <w:t xml:space="preserve"/>
      </w:r>
    </w:p>
    <w:p>
      <w:pPr>
        <w:pStyle w:val="Heading1"/>
      </w:pPr>
      <w:r>
        <w:rPr>
          <w:rFonts w:ascii="Calibri" w:cs="Calibri" w:eastAsia="Calibri" w:hAnsi="Calibri"/>
          <w:b/>
          <w:bCs/>
          <w:color w:val="1E3A5F"/>
        </w:rPr>
        <w:t xml:space="preserve">3. What the rep will see</w:t>
      </w:r>
    </w:p>
    <w:p>
      <w:pPr>
        <w:pStyle w:val="Heading3"/>
      </w:pPr>
      <w:r>
        <w:rPr>
          <w:rFonts w:ascii="Calibri" w:cs="Calibri" w:eastAsia="Calibri" w:hAnsi="Calibri"/>
          <w:b/>
          <w:bCs/>
          <w:color w:val="4A6FA5"/>
        </w:rPr>
        <w:t xml:space="preserve">Initially after launch</w:t>
      </w:r>
    </w:p>
    <w:p>
      <w:pPr>
        <w:spacing w:after="120"/>
      </w:pPr>
      <w:r>
        <w:rPr>
          <w:color w:val="1A1A1A"/>
          <w:sz w:val="22"/>
          <w:szCs w:val="22"/>
        </w:rPr>
        <w:t xml:space="preserve">On the Today screen, when a price change affects the rep’s open quotes, a new chip appears in the Live Signals strip: “6 quotes affected” — orange, tappable.</w:t>
      </w:r>
    </w:p>
    <w:p>
      <w:pPr>
        <w:spacing w:after="120"/>
      </w:pPr>
      <w:r>
        <w:rPr>
          <w:color w:val="1A1A1A"/>
          <w:sz w:val="22"/>
          <w:szCs w:val="22"/>
        </w:rPr>
        <w:t xml:space="preserve">Tapping the chip opens a Price Impact card that shows the manufacturer, the date the new sheet posted, total margin exposure if accepted at old prices, and the list of affected quotes with customer name, deal value, old margin %, new margin %, and dollar delta. Two buttons: Re-price all (gated by margin floor and the approval policy) or Review one by one.</w:t>
      </w:r>
    </w:p>
    <w:p>
      <w:pPr>
        <w:pStyle w:val="Heading3"/>
      </w:pPr>
      <w:r>
        <w:rPr>
          <w:rFonts w:ascii="Calibri" w:cs="Calibri" w:eastAsia="Calibri" w:hAnsi="Calibri"/>
          <w:b/>
          <w:bCs/>
          <w:color w:val="4A6FA5"/>
        </w:rPr>
        <w:t xml:space="preserve">Once the system is trusted and used daily</w:t>
      </w:r>
    </w:p>
    <w:p>
      <w:pPr>
        <w:spacing w:after="120"/>
      </w:pPr>
      <w:r>
        <w:rPr>
          <w:color w:val="1A1A1A"/>
          <w:sz w:val="22"/>
          <w:szCs w:val="22"/>
        </w:rPr>
        <w:t xml:space="preserve">The chip becomes ambient. The rep starts the day with the price-impact summary folded into the evening briefing line:</w:t>
      </w:r>
    </w:p>
    <w:p>
      <w:pPr>
        <w:spacing w:after="120"/>
      </w:pPr>
      <w:r>
        <w:rPr>
          <w:i/>
          <w:iCs/>
          <w:color w:val="5C6B7A"/>
          <w:sz w:val="22"/>
          <w:szCs w:val="22"/>
        </w:rPr>
        <w:t xml:space="preserve">“Overnight: Manitowoc raised list 3.2% — re-priced 4 quotes inside your margin policy, 1 needs your review.”</w:t>
      </w:r>
    </w:p>
    <w:p>
      <w:pPr>
        <w:spacing w:after="120"/>
      </w:pPr>
      <w:r>
        <w:rPr>
          <w:color w:val="1A1A1A"/>
          <w:sz w:val="22"/>
          <w:szCs w:val="22"/>
        </w:rPr>
        <w:t xml:space="preserve">The rep wakes up to find their book already defended.</w:t>
      </w:r>
    </w:p>
    <w:p>
      <w:pPr>
        <w:pStyle w:val="Heading1"/>
      </w:pPr>
      <w:r>
        <w:rPr>
          <w:rFonts w:ascii="Calibri" w:cs="Calibri" w:eastAsia="Calibri" w:hAnsi="Calibri"/>
          <w:b/>
          <w:bCs/>
          <w:color w:val="1E3A5F"/>
        </w:rPr>
        <w:t xml:space="preserve">4. Decision Points</w:t>
      </w:r>
    </w:p>
    <w:p>
      <w:pPr>
        <w:spacing w:after="120"/>
      </w:pPr>
      <w:r>
        <w:rPr>
          <w:color w:val="1A1A1A"/>
          <w:sz w:val="22"/>
          <w:szCs w:val="22"/>
        </w:rPr>
        <w:t xml:space="preserve">These are the questions engineering cannot answer. Each one has options laid out with the tradeoffs and a recommended starting point. Write your answer in the amber-bordered box; override the recommendation freely.</w:t>
      </w:r>
    </w:p>
    <w:p>
      <w:pPr>
        <w:spacing w:after="80" w:before="240"/>
      </w:pPr>
      <w:r>
        <w:rPr>
          <w:b/>
          <w:bCs/>
          <w:color w:val="1E3A5F"/>
          <w:sz w:val="26"/>
          <w:szCs w:val="26"/>
        </w:rPr>
        <w:t xml:space="preserve">Decision Point 1 </w:t>
      </w:r>
      <w:r>
        <w:rPr>
          <w:b/>
          <w:bCs/>
          <w:color w:val="1E3A5F"/>
          <w:sz w:val="26"/>
          <w:szCs w:val="26"/>
        </w:rPr>
        <w:t xml:space="preserve">— Trust threshold for re-pricing</w:t>
      </w:r>
    </w:p>
    <w:p>
      <w:pPr>
        <w:spacing w:after="120"/>
      </w:pPr>
      <w:r>
        <w:rPr>
          <w:b/>
          <w:bCs/>
          <w:color w:val="1A1A1A"/>
          <w:sz w:val="22"/>
          <w:szCs w:val="22"/>
        </w:rPr>
        <w:t xml:space="preserve">Question: </w:t>
      </w:r>
      <w:r>
        <w:rPr>
          <w:color w:val="1A1A1A"/>
          <w:sz w:val="22"/>
          <w:szCs w:val="22"/>
        </w:rPr>
        <w:t xml:space="preserve">When the system detects price changes, how much trust do you want to give it before a rep can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Always require line-item review</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Rep sees the diff, opens each quote, taps through each affected line, confirms.</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Safest. Slowest. Risk: reps ignore the alert because it is too much work.</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One-tap re-price within margin policy</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If new prices keep margin above your floor, rep can re-price all affected quotes with one tap. Below floor → individual review required.</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Fast for low-risk changes; forced review for high-risk.</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Fully autonomous</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System re-prices automatically and notifies the rep after the fact.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Fastest. Riskiest. Reps lose ownership of pricing.</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for Phase 1. Revisit C after 90 days of clean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2 </w:t>
      </w:r>
      <w:r>
        <w:rPr>
          <w:b/>
          <w:bCs/>
          <w:color w:val="1E3A5F"/>
          <w:sz w:val="26"/>
          <w:szCs w:val="26"/>
        </w:rPr>
        <w:t xml:space="preserve">— Auto-send to customer vs. rep review</w:t>
      </w:r>
    </w:p>
    <w:p>
      <w:pPr>
        <w:spacing w:after="120"/>
      </w:pPr>
      <w:r>
        <w:rPr>
          <w:b/>
          <w:bCs/>
          <w:color w:val="1A1A1A"/>
          <w:sz w:val="22"/>
          <w:szCs w:val="22"/>
        </w:rPr>
        <w:t xml:space="preserve">Question: </w:t>
      </w:r>
      <w:r>
        <w:rPr>
          <w:color w:val="1A1A1A"/>
          <w:sz w:val="22"/>
          <w:szCs w:val="22"/>
        </w:rPr>
        <w:t xml:space="preserve">When a re-priced quote is generated, 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Always rep review before customer sees it</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New quote drafted; rep reviews; rep clicks Send.</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Safest customer-facing. Adds a rep step.</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Auto-send if margin improved; review if margin worsened</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If the OEM lowered prices and we are passing savings, customer gets the better quote automatically. If we are raising the quote, rep must review and send.</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Customer never gets a price hike without rep eyes on it.</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Auto-send everything</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New quote goes out the door without rep involvement.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Fastest. Severe trust risk if a parser bug ever lets a bad price through.</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3 </w:t>
      </w:r>
      <w:r>
        <w:rPr>
          <w:b/>
          <w:bCs/>
          <w:color w:val="1E3A5F"/>
          <w:sz w:val="26"/>
          <w:szCs w:val="26"/>
        </w:rPr>
        <w:t xml:space="preserve">— Approval thresholds</w:t>
      </w:r>
    </w:p>
    <w:p>
      <w:pPr>
        <w:spacing w:after="120"/>
      </w:pPr>
      <w:r>
        <w:rPr>
          <w:b/>
          <w:bCs/>
          <w:color w:val="1A1A1A"/>
          <w:sz w:val="22"/>
          <w:szCs w:val="22"/>
        </w:rPr>
        <w:t xml:space="preserve">Question: </w:t>
      </w:r>
      <w:r>
        <w:rPr>
          <w:color w:val="1A1A1A"/>
          <w:sz w:val="22"/>
          <w:szCs w:val="22"/>
        </w:rPr>
        <w:t xml:space="preserve">Above what dollar delta or percentage delta does a re-price require manager (or your) sign-off, separate from the rep?</w:t>
      </w:r>
    </w:p>
    <w:p>
      <w:pPr>
        <w:shd w:fill="EEF3F8" w:color="auto" w:val="clear"/>
        <w:spacing w:after="120"/>
      </w:pPr>
      <w:r>
        <w:rPr>
          <w:b/>
          <w:bCs/>
          <w:color w:val="1E3A5F"/>
          <w:sz w:val="22"/>
          <w:szCs w:val="22"/>
        </w:rPr>
        <w:t xml:space="preserve">Recommended starting point: </w:t>
      </w:r>
      <w:r>
        <w:rPr>
          <w:i/>
          <w:iCs/>
          <w:color w:val="1A1A1A"/>
          <w:sz w:val="22"/>
          <w:szCs w:val="22"/>
        </w:rPr>
        <w:t xml:space="preserve">Use the sample policy below as a starting point; amend in your answer box.</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Quote value</w:t>
            </w:r>
          </w:p>
        </w:tc>
        <w:tc>
          <w:tcPr>
            <w:tcW w:type="dxa" w:w="57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Margin delta requiring manager approval</w:t>
            </w:r>
          </w:p>
        </w:tc>
      </w:tr>
      <w:tr>
        <w:trPr>
          <w:tblHeader w:val="false"/>
        </w:trPr>
        <w:tc>
          <w:tcPr>
            <w:tcW w:type="dxa" w:w="36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&lt; $25K</w:t>
            </w:r>
          </w:p>
        </w:tc>
        <w:tc>
          <w:tcPr>
            <w:tcW w:type="dxa" w:w="5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No manager approval if within margin floor</w:t>
            </w:r>
          </w:p>
        </w:tc>
      </w:tr>
      <w:tr>
        <w:trPr>
          <w:tblHeader w:val="false"/>
        </w:trPr>
        <w:tc>
          <w:tcPr>
            <w:tcW w:type="dxa" w:w="36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$25K – $100K</w:t>
            </w:r>
          </w:p>
        </w:tc>
        <w:tc>
          <w:tcPr>
            <w:tcW w:type="dxa" w:w="5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Manager approval if margin drops by more than 2 points or $1,000</w:t>
            </w:r>
          </w:p>
        </w:tc>
      </w:tr>
      <w:tr>
        <w:trPr>
          <w:tblHeader w:val="false"/>
        </w:trPr>
        <w:tc>
          <w:tcPr>
            <w:tcW w:type="dxa" w:w="36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$100K – $500K</w:t>
            </w:r>
          </w:p>
        </w:tc>
        <w:tc>
          <w:tcPr>
            <w:tcW w:type="dxa" w:w="57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Manager approval if margin drops by more than 1 point or $2,500</w:t>
            </w:r>
          </w:p>
        </w:tc>
      </w:tr>
      <w:tr>
        <w:trPr>
          <w:tblHeader w:val="false"/>
        </w:trPr>
        <w:tc>
          <w:tcPr>
            <w:tcW w:type="dxa" w:w="36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&gt; $500K</w:t>
            </w:r>
          </w:p>
        </w:tc>
        <w:tc>
          <w:tcPr>
            <w:tcW w:type="dxa" w:w="57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All re-prices require owner approval, no exceptions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4 </w:t>
      </w:r>
      <w:r>
        <w:rPr>
          <w:b/>
          <w:bCs/>
          <w:color w:val="1E3A5F"/>
          <w:sz w:val="26"/>
          <w:szCs w:val="26"/>
        </w:rPr>
        <w:t xml:space="preserve">— Which manufacturers do we ingest first</w:t>
      </w:r>
    </w:p>
    <w:p>
      <w:pPr>
        <w:spacing w:after="120"/>
      </w:pPr>
      <w:r>
        <w:rPr>
          <w:b/>
          <w:bCs/>
          <w:color w:val="1A1A1A"/>
          <w:sz w:val="22"/>
          <w:szCs w:val="22"/>
        </w:rPr>
        <w:t xml:space="preserve">Question: </w:t>
      </w:r>
      <w:r>
        <w:rPr>
          <w:color w:val="1A1A1A"/>
          <w:sz w:val="22"/>
          <w:szCs w:val="22"/>
        </w:rPr>
        <w:t xml:space="preserve">We will not build parsers for every manufacturer at once. Which three manufacturers cover roughly 80% of your quote volume? This is the single biggest scoping decision in the project.</w:t>
      </w:r>
    </w:p>
    <w:p>
      <w:pPr>
        <w:shd w:fill="EEF3F8" w:color="auto" w:val="clear"/>
        <w:spacing w:after="120"/>
      </w:pPr>
      <w:r>
        <w:rPr>
          <w:b/>
          <w:bCs/>
          <w:color w:val="1E3A5F"/>
          <w:sz w:val="22"/>
          <w:szCs w:val="22"/>
        </w:rPr>
        <w:t xml:space="preserve">Recommended starting point: </w:t>
      </w:r>
      <w:r>
        <w:rPr>
          <w:i/>
          <w:iCs/>
          <w:color w:val="1A1A1A"/>
          <w:sz w:val="22"/>
          <w:szCs w:val="22"/>
        </w:rPr>
        <w:t xml:space="preserve">Rank your top 3 (top 5 if you have them) in the table below.</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800"/>
        <w:gridCol w:w="2100"/>
        <w:gridCol w:w="1960"/>
      </w:tblGrid>
      <w:tr>
        <w:trPr>
          <w:tblHeader/>
        </w:trPr>
        <w:tc>
          <w:tcPr>
            <w:tcW w:type="dxa" w:w="7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Rank</w:t>
            </w:r>
          </w:p>
        </w:tc>
        <w:tc>
          <w:tcPr>
            <w:tcW w:type="dxa" w:w="28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Manufacturer</w:t>
            </w:r>
          </w:p>
        </w:tc>
        <w:tc>
          <w:tcPr>
            <w:tcW w:type="dxa" w:w="18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 of quote volume</w:t>
            </w:r>
          </w:p>
        </w:tc>
        <w:tc>
          <w:tcPr>
            <w:tcW w:type="dxa" w:w="21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File format (CSV / PDF / email / portal)</w:t>
            </w:r>
          </w:p>
        </w:tc>
        <w:tc>
          <w:tcPr>
            <w:tcW w:type="dxa" w:w="19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Cadence (monthly / quarterly / ad-hoc)</w:t>
            </w:r>
          </w:p>
        </w:tc>
      </w:tr>
      <w:tr>
        <w:trPr>
          <w:tblHeader w:val="false"/>
        </w:trPr>
        <w:tc>
          <w:tcPr>
            <w:tcW w:type="dxa" w:w="7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1</w:t>
            </w:r>
          </w:p>
        </w:tc>
        <w:tc>
          <w:tcPr>
            <w:tcW w:type="dxa" w:w="28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1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9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7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2</w:t>
            </w:r>
          </w:p>
        </w:tc>
        <w:tc>
          <w:tcPr>
            <w:tcW w:type="dxa" w:w="28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8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1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9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7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3</w:t>
            </w:r>
          </w:p>
        </w:tc>
        <w:tc>
          <w:tcPr>
            <w:tcW w:type="dxa" w:w="28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1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9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7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4 (optional)</w:t>
            </w:r>
          </w:p>
        </w:tc>
        <w:tc>
          <w:tcPr>
            <w:tcW w:type="dxa" w:w="28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8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21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19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7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5 (optional)</w:t>
            </w:r>
          </w:p>
        </w:tc>
        <w:tc>
          <w:tcPr>
            <w:tcW w:type="dxa" w:w="28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8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21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19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5 </w:t>
      </w:r>
      <w:r>
        <w:rPr>
          <w:b/>
          <w:bCs/>
          <w:color w:val="1E3A5F"/>
          <w:sz w:val="26"/>
          <w:szCs w:val="26"/>
        </w:rPr>
        <w:t xml:space="preserve">— Notification threshold (signal vs. noise)</w:t>
      </w:r>
    </w:p>
    <w:p>
      <w:pPr>
        <w:spacing w:after="120"/>
      </w:pPr>
      <w:r>
        <w:rPr>
          <w:b/>
          <w:bCs/>
          <w:color w:val="1A1A1A"/>
          <w:sz w:val="22"/>
          <w:szCs w:val="22"/>
        </w:rPr>
        <w:t xml:space="preserve">Question: </w:t>
      </w:r>
      <w:r>
        <w:rPr>
          <w:color w:val="1A1A1A"/>
          <w:sz w:val="22"/>
          <w:szCs w:val="22"/>
        </w:rPr>
        <w:t xml:space="preserve">How small a price change is worth waking up the rep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Any change &gt; 0%</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Even a $5 list change on a single part triggers a notification.</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Maximum visibility. Maximum noise.</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&gt; 1% on any line OR &gt; $500 total impact on any open quote</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Filters out micro-changes; surfaces anything that actually moves margin.</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Engineering recommendation.</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&gt; 2% on any line OR &gt; $1,000 total impact</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Quieter.</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Risk missing a $900 leak.</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 Custom by manufacturer</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Some OEMs adjust quarterly in tiny increments; others rarely change.</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Per-OEM threshold; more flexible, more maintenance.</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B for Phase 1; per-OEM tuning in Phase 2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6 </w:t>
      </w:r>
      <w:r>
        <w:rPr>
          <w:b/>
          <w:bCs/>
          <w:color w:val="1E3A5F"/>
          <w:sz w:val="26"/>
          <w:szCs w:val="26"/>
        </w:rPr>
        <w:t xml:space="preserve">— Contractually locked customers</w:t>
      </w:r>
    </w:p>
    <w:p>
      <w:pPr>
        <w:spacing w:after="120"/>
      </w:pPr>
      <w:r>
        <w:rPr>
          <w:b/>
          <w:bCs/>
          <w:color w:val="1A1A1A"/>
          <w:sz w:val="22"/>
          <w:szCs w:val="22"/>
        </w:rPr>
        <w:t xml:space="preserve">Question: </w:t>
      </w:r>
      <w:r>
        <w:rPr>
          <w:color w:val="1A1A1A"/>
          <w:sz w:val="22"/>
          <w:szCs w:val="22"/>
        </w:rPr>
        <w:t xml:space="preserve">Do you have customers with negotiated long-term pricing (national accounts, government contracts, multi-year rentals, annual price-lock) that should NOT be re-priced when an OEM sheet changes?</w:t>
      </w:r>
    </w:p>
    <w:p>
      <w:pPr>
        <w:shd w:fill="EEF3F8" w:color="auto" w:val="clear"/>
        <w:spacing w:after="120"/>
      </w:pPr>
      <w:r>
        <w:rPr>
          <w:b/>
          <w:bCs/>
          <w:color w:val="1E3A5F"/>
          <w:sz w:val="22"/>
          <w:szCs w:val="22"/>
        </w:rPr>
        <w:t xml:space="preserve">Recommended starting point: </w:t>
      </w:r>
      <w:r>
        <w:rPr>
          <w:i/>
          <w:iCs/>
          <w:color w:val="1A1A1A"/>
          <w:sz w:val="22"/>
          <w:szCs w:val="22"/>
        </w:rPr>
        <w:t xml:space="preserve">Flag locked customers explicitly so the rep is reminded of the lock. Silent exclusion looks like a bug.</w:t>
      </w:r>
    </w:p>
    <w:p>
      <w:pPr>
        <w:spacing w:after="120"/>
      </w:pPr>
      <w:r>
        <w:rPr>
          <w:color w:val="1A1A1A"/>
          <w:sz w:val="22"/>
          <w:szCs w:val="22"/>
        </w:rPr>
        <w:t xml:space="preserve">Please note in your answer:</w:t>
      </w:r>
    </w:p>
    <w:p>
      <w:pPr>
        <w:pStyle w:val="ListParagraph"/>
        <w:numPr>
          <w:ilvl w:val="0"/>
          <w:numId w:val="3"/>
        </w:numPr>
        <w:spacing w:after="80"/>
      </w:pPr>
      <w:r>
        <w:rPr>
          <w:color w:val="1A1A1A"/>
          <w:sz w:val="22"/>
          <w:szCs w:val="22"/>
        </w:rPr>
        <w:t xml:space="preserve">Which customer types or specific customers are price-locked.</w:t>
      </w:r>
    </w:p>
    <w:p>
      <w:pPr>
        <w:pStyle w:val="ListParagraph"/>
        <w:numPr>
          <w:ilvl w:val="0"/>
          <w:numId w:val="3"/>
        </w:numPr>
        <w:spacing w:after="80"/>
      </w:pPr>
      <w:r>
        <w:rPr>
          <w:color w:val="1A1A1A"/>
          <w:sz w:val="22"/>
          <w:szCs w:val="22"/>
        </w:rPr>
        <w:t xml:space="preserve">Whether the lock is encoded today (flag on the record, contract attachment) or relies on reps “just knowing.”</w:t>
      </w:r>
    </w:p>
    <w:p>
      <w:pPr>
        <w:pStyle w:val="ListParagraph"/>
        <w:numPr>
          <w:ilvl w:val="0"/>
          <w:numId w:val="3"/>
        </w:numPr>
        <w:spacing w:after="80"/>
      </w:pPr>
      <w:r>
        <w:rPr>
          <w:color w:val="1A1A1A"/>
          <w:sz w:val="22"/>
          <w:szCs w:val="22"/>
        </w:rPr>
        <w:t xml:space="preserve">Whether the system should flag these explicitly (“Beacon Ridge is on a 2026 price lock — re-price suppressed”) or silently exclude them.</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7 </w:t>
      </w:r>
      <w:r>
        <w:rPr>
          <w:b/>
          <w:bCs/>
          <w:color w:val="1E3A5F"/>
          <w:sz w:val="26"/>
          <w:szCs w:val="26"/>
        </w:rPr>
        <w:t xml:space="preserve">— Pricing protection windows</w:t>
      </w:r>
    </w:p>
    <w:p>
      <w:pPr>
        <w:spacing w:after="120"/>
      </w:pPr>
      <w:r>
        <w:rPr>
          <w:b/>
          <w:bCs/>
          <w:color w:val="1A1A1A"/>
          <w:sz w:val="22"/>
          <w:szCs w:val="22"/>
        </w:rPr>
        <w:t xml:space="preserve">Question: </w:t>
      </w:r>
      <w:r>
        <w:rPr>
          <w:color w:val="1A1A1A"/>
          <w:sz w:val="22"/>
          <w:szCs w:val="22"/>
        </w:rPr>
        <w:t xml:space="preserve">Some manufacturers grant a pricing protection window — they will honor old prices on quotes dated before the change for, e.g., 30 days. Do any of your manufacturers do this?</w:t>
      </w:r>
    </w:p>
    <w:p>
      <w:pPr>
        <w:shd w:fill="EEF3F8" w:color="auto" w:val="clear"/>
        <w:spacing w:after="120"/>
      </w:pPr>
      <w:r>
        <w:rPr>
          <w:b/>
          <w:bCs/>
          <w:color w:val="1E3A5F"/>
          <w:sz w:val="22"/>
          <w:szCs w:val="22"/>
        </w:rPr>
        <w:t xml:space="preserve">Recommended starting point: </w:t>
      </w:r>
      <w:r>
        <w:rPr>
          <w:i/>
          <w:iCs/>
          <w:color w:val="1A1A1A"/>
          <w:sz w:val="22"/>
          <w:szCs w:val="22"/>
        </w:rPr>
        <w:t xml:space="preserve">Most manufacturers do not formally offer this; assume “no protection” unless you tell us otherwise per manufacturer.</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Manufacturer</w:t>
            </w:r>
          </w:p>
        </w:tc>
        <w:tc>
          <w:tcPr>
            <w:tcW w:type="dxa" w:w="31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Protection window</w:t>
            </w:r>
          </w:p>
        </w:tc>
        <w:tc>
          <w:tcPr>
            <w:tcW w:type="dxa" w:w="31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How they communicate it</w:t>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8 </w:t>
      </w:r>
      <w:r>
        <w:rPr>
          <w:b/>
          <w:bCs/>
          <w:color w:val="1E3A5F"/>
          <w:sz w:val="26"/>
          <w:szCs w:val="26"/>
        </w:rPr>
        <w:t xml:space="preserve">— In-stock vs. on-order pricing</w:t>
      </w:r>
    </w:p>
    <w:p>
      <w:pPr>
        <w:spacing w:after="120"/>
      </w:pPr>
      <w:r>
        <w:rPr>
          <w:b/>
          <w:bCs/>
          <w:color w:val="1A1A1A"/>
          <w:sz w:val="22"/>
          <w:szCs w:val="22"/>
        </w:rPr>
        <w:t xml:space="preserve">Question: </w:t>
      </w:r>
      <w:r>
        <w:rPr>
          <w:color w:val="1A1A1A"/>
          <w:sz w:val="22"/>
          <w:szCs w:val="22"/>
        </w:rPr>
        <w:t xml:space="preserve">When equipment is already in your yard at the old cost, does the new manufacturer list price apply to it, or only to new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Stock units stay at old cost</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Re-pricing on stock units is your choice (capture margin or pass savings), not forced.</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Engineering recommendation.</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Stock units re-price to current sheet</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Re-pricing applies to everything regardless of yard cost.</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Simpler logic; misses captured-margin opportunities.</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Per-OEM rule</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Some manufacturers honor stock cost; others don’t.</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accurate; more policy to maintain.</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A. We will flag stock units explicitly in the impact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9 </w:t>
      </w:r>
      <w:r>
        <w:rPr>
          <w:b/>
          <w:bCs/>
          <w:color w:val="1E3A5F"/>
          <w:sz w:val="26"/>
          <w:szCs w:val="26"/>
        </w:rPr>
        <w:t xml:space="preserve">— Freight, rebates, and incentive stacks</w:t>
      </w:r>
    </w:p>
    <w:p>
      <w:pPr>
        <w:spacing w:after="120"/>
      </w:pPr>
      <w:r>
        <w:rPr>
          <w:b/>
          <w:bCs/>
          <w:color w:val="1A1A1A"/>
          <w:sz w:val="22"/>
          <w:szCs w:val="22"/>
        </w:rPr>
        <w:t xml:space="preserve">Question: </w:t>
      </w:r>
      <w:r>
        <w:rPr>
          <w:color w:val="1A1A1A"/>
          <w:sz w:val="22"/>
          <w:szCs w:val="22"/>
        </w:rPr>
        <w:t xml:space="preserve">When a manufacturer changes any of list price, freight schedule, rebate program, or incentive stack — should all four be treated the same way, or different escalation paths?</w:t>
      </w:r>
    </w:p>
    <w:p>
      <w:pPr>
        <w:shd w:fill="EEF3F8" w:color="auto" w:val="clear"/>
        <w:spacing w:after="120"/>
      </w:pPr>
      <w:r>
        <w:rPr>
          <w:b/>
          <w:bCs/>
          <w:color w:val="1E3A5F"/>
          <w:sz w:val="22"/>
          <w:szCs w:val="22"/>
        </w:rPr>
        <w:t xml:space="preserve">Recommended starting point: </w:t>
      </w:r>
      <w:r>
        <w:rPr>
          <w:i/>
          <w:iCs/>
          <w:color w:val="1A1A1A"/>
          <w:sz w:val="22"/>
          <w:szCs w:val="22"/>
        </w:rPr>
        <w:t xml:space="preserve">Use the sample policy below as a starting point; amend in your answer box.</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Change type</w:t>
            </w:r>
          </w:p>
        </w:tc>
        <w:tc>
          <w:tcPr>
            <w:tcW w:type="dxa" w:w="624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Treatment</w:t>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List price</w:t>
            </w:r>
          </w:p>
        </w:tc>
        <w:tc>
          <w:tcPr>
            <w:tcW w:type="dxa" w:w="624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Standard impact flow per Decisions 1–2</w:t>
            </w:r>
          </w:p>
        </w:tc>
      </w:tr>
      <w:tr>
        <w:trPr>
          <w:tblHeader w:val="false"/>
        </w:trPr>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Freight</w:t>
            </w:r>
          </w:p>
        </w:tc>
        <w:tc>
          <w:tcPr>
            <w:tcW w:type="dxa" w:w="624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Standard impact flow</w:t>
            </w:r>
          </w:p>
        </w:tc>
      </w:tr>
      <w:tr>
        <w:trPr>
          <w:tblHeader w:val="false"/>
        </w:trPr>
        <w:tc>
          <w:tcPr>
            <w:tcW w:type="dxa" w:w="312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Rebate program</w:t>
            </w:r>
          </w:p>
        </w:tc>
        <w:tc>
          <w:tcPr>
            <w:tcW w:type="dxa" w:w="624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Always require manager review — rebate changes are political and often retroactive</w:t>
            </w:r>
          </w:p>
        </w:tc>
      </w:tr>
      <w:tr>
        <w:trPr>
          <w:tblHeader w:val="false"/>
        </w:trPr>
        <w:tc>
          <w:tcPr>
            <w:tcW w:type="dxa" w:w="312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Incentive stack</w:t>
            </w:r>
          </w:p>
        </w:tc>
        <w:tc>
          <w:tcPr>
            <w:tcW w:type="dxa" w:w="624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Always require manager review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spacing w:after="80" w:before="240"/>
      </w:pPr>
      <w:r>
        <w:rPr>
          <w:b/>
          <w:bCs/>
          <w:color w:val="1E3A5F"/>
          <w:sz w:val="26"/>
          <w:szCs w:val="26"/>
        </w:rPr>
        <w:t xml:space="preserve">Decision Point 10 </w:t>
      </w:r>
      <w:r>
        <w:rPr>
          <w:b/>
          <w:bCs/>
          <w:color w:val="1E3A5F"/>
          <w:sz w:val="26"/>
          <w:szCs w:val="26"/>
        </w:rPr>
        <w:t xml:space="preserve">— Rep commission impact</w:t>
      </w:r>
    </w:p>
    <w:p>
      <w:pPr>
        <w:spacing w:after="120"/>
      </w:pPr>
      <w:r>
        <w:rPr>
          <w:b/>
          <w:bCs/>
          <w:color w:val="1A1A1A"/>
          <w:sz w:val="22"/>
          <w:szCs w:val="22"/>
        </w:rPr>
        <w:t xml:space="preserve">Question: </w:t>
      </w:r>
      <w:r>
        <w:rPr>
          <w:color w:val="1A1A1A"/>
          <w:sz w:val="22"/>
          <w:szCs w:val="22"/>
        </w:rPr>
        <w:t xml:space="preserve">Re-pricing a quote can change a rep’s earned commission. Will reps trust the system if it can lower their commission without their explicit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80"/>
        <w:gridCol w:w="2480"/>
      </w:tblGrid>
      <w:tr>
        <w:trPr>
          <w:tblHeader/>
        </w:trPr>
        <w:tc>
          <w:tcPr>
            <w:tcW w:type="dxa" w:w="24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Option</w:t>
            </w:r>
          </w:p>
        </w:tc>
        <w:tc>
          <w:tcPr>
            <w:tcW w:type="dxa" w:w="4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What it means</w:t>
            </w:r>
          </w:p>
        </w:tc>
        <w:tc>
          <w:tcPr>
            <w:tcW w:type="dxa" w:w="248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Tradeoff</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Re-pricing never auto-lowers commission</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If a re-price would lower commission, system forces the rep to acknowledge before applying.</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Most rep-friendly.</w:t>
            </w:r>
          </w:p>
        </w:tc>
      </w:tr>
      <w:tr>
        <w:trPr>
          <w:tblHeader w:val="false"/>
        </w:trPr>
        <w:tc>
          <w:tcPr>
            <w:tcW w:type="dxa" w:w="24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B. Re-pricing always recalculates commission silently</w:t>
            </w:r>
          </w:p>
        </w:tc>
        <w:tc>
          <w:tcPr>
            <w:tcW w:type="dxa" w:w="4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Cleanest engineering.</w:t>
            </w:r>
          </w:p>
        </w:tc>
        <w:tc>
          <w:tcPr>
            <w:tcW w:type="dxa" w:w="248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Rep frustration risk.</w:t>
            </w:r>
          </w:p>
        </w:tc>
      </w:tr>
      <w:tr>
        <w:trPr>
          <w:tblHeader w:val="false"/>
        </w:trPr>
        <w:tc>
          <w:tcPr>
            <w:tcW w:type="dxa" w:w="24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 Re-pricing recalculates; rep gets a commission-delta line in the impact card</w:t>
            </w:r>
          </w:p>
        </w:tc>
        <w:tc>
          <w:tcPr>
            <w:tcW w:type="dxa" w:w="4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Transparent without blocking.</w:t>
            </w:r>
          </w:p>
        </w:tc>
        <w:tc>
          <w:tcPr>
            <w:tcW w:type="dxa" w:w="248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Engineering recommendation.</w:t>
            </w:r>
          </w:p>
        </w:tc>
      </w:tr>
    </w:tbl>
    <w:p>
      <w:pPr>
        <w:spacing w:after="80"/>
      </w:pPr>
      <w:r>
        <w:t xml:space="preserve"/>
      </w:r>
    </w:p>
    <w:p>
      <w:pPr>
        <w:shd w:fill="EEF3F8" w:color="auto" w:val="clear"/>
        <w:spacing w:after="120"/>
      </w:pPr>
      <w:r>
        <w:rPr>
          <w:b/>
          <w:bCs/>
          <w:color w:val="1E3A5F"/>
          <w:sz w:val="22"/>
          <w:szCs w:val="22"/>
        </w:rPr>
        <w:t xml:space="preserve">Recommended starting point: </w:t>
      </w:r>
      <w:r>
        <w:rPr>
          <w:i/>
          <w:iCs/>
          <w:color w:val="1A1A1A"/>
          <w:sz w:val="22"/>
          <w:szCs w:val="22"/>
        </w:rPr>
        <w:t xml:space="preserve">Option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84C" w:sz="8"/>
              <w:left w:val="single" w:color="E0B84C" w:sz="8"/>
              <w:bottom w:val="single" w:color="E0B84C" w:sz="8"/>
              <w:right w:val="single" w:color="E0B84C" w:sz="8"/>
            </w:tcBorders>
            <w:shd w:fill="FFF8E5" w:color="auto" w:val="clear"/>
            <w:tcMar>
              <w:top w:type="dxa" w:w="160"/>
              <w:left w:type="dxa" w:w="200"/>
              <w:bottom w:type="dxa" w:w="160"/>
              <w:right w:type="dxa" w:w="200"/>
            </w:tcMar>
          </w:tcPr>
          <w:p>
            <w:pPr>
              <w:spacing w:after="80"/>
            </w:pPr>
            <w:r>
              <w:rPr>
                <w:b/>
                <w:bCs/>
                <w:color w:val="1E3A5F"/>
                <w:sz w:val="22"/>
                <w:szCs w:val="22"/>
              </w:rPr>
              <w:t xml:space="preserve">Your answer</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p>
            <w:pPr>
              <w:spacing w:after="60"/>
            </w:pPr>
            <w:r>
              <w:rPr>
                <w:sz w:val="22"/>
                <w:szCs w:val="22"/>
              </w:rPr>
              <w:t xml:space="preserve"> </w:t>
            </w:r>
          </w:p>
        </w:tc>
      </w:tr>
    </w:tbl>
    <w:p>
      <w:pPr>
        <w:pStyle w:val="Heading1"/>
      </w:pPr>
      <w:r>
        <w:rPr>
          <w:rFonts w:ascii="Calibri" w:cs="Calibri" w:eastAsia="Calibri" w:hAnsi="Calibri"/>
          <w:b/>
          <w:bCs/>
          <w:color w:val="1E3A5F"/>
        </w:rPr>
        <w:t xml:space="preserve">5. What we need from you to start</w:t>
      </w:r>
    </w:p>
    <w:p>
      <w:pPr>
        <w:pStyle w:val="Heading3"/>
      </w:pPr>
      <w:r>
        <w:rPr>
          <w:rFonts w:ascii="Calibri" w:cs="Calibri" w:eastAsia="Calibri" w:hAnsi="Calibri"/>
          <w:b/>
          <w:bCs/>
          <w:color w:val="4A6FA5"/>
        </w:rPr>
        <w:t xml:space="preserve">From you (owner)</w:t>
      </w:r>
    </w:p>
    <w:p>
      <w:pPr>
        <w:pStyle w:val="ListParagraph"/>
        <w:numPr>
          <w:ilvl w:val="0"/>
          <w:numId w:val="3"/>
        </w:numPr>
        <w:spacing w:after="80"/>
      </w:pPr>
      <w:r>
        <w:rPr>
          <w:color w:val="1A1A1A"/>
          <w:sz w:val="22"/>
          <w:szCs w:val="22"/>
        </w:rPr>
        <w:t xml:space="preserve">Answers to all 10 Decision Points above.</w:t>
      </w:r>
    </w:p>
    <w:p>
      <w:pPr>
        <w:pStyle w:val="ListParagraph"/>
        <w:numPr>
          <w:ilvl w:val="0"/>
          <w:numId w:val="3"/>
        </w:numPr>
        <w:spacing w:after="80"/>
      </w:pPr>
      <w:r>
        <w:rPr>
          <w:color w:val="1A1A1A"/>
          <w:sz w:val="22"/>
          <w:szCs w:val="22"/>
        </w:rPr>
        <w:t xml:space="preserve">Approval authority: who can approve a re-price above the auto-approve threshold (you, VP Sales, both).</w:t>
      </w:r>
    </w:p>
    <w:p>
      <w:pPr>
        <w:pStyle w:val="ListParagraph"/>
        <w:numPr>
          <w:ilvl w:val="0"/>
          <w:numId w:val="3"/>
        </w:numPr>
        <w:spacing w:after="80"/>
      </w:pPr>
      <w:r>
        <w:rPr>
          <w:color w:val="1A1A1A"/>
          <w:sz w:val="22"/>
          <w:szCs w:val="22"/>
        </w:rPr>
        <w:t xml:space="preserve">Customer communication policy: are we OK auto-sending re-priced quotes that lower the price to the customer?</w:t>
      </w:r>
    </w:p>
    <w:p>
      <w:pPr>
        <w:spacing w:after="80"/>
      </w:pPr>
      <w:r>
        <w:t xml:space="preserve"/>
      </w:r>
    </w:p>
    <w:p>
      <w:pPr>
        <w:pStyle w:val="Heading3"/>
      </w:pPr>
      <w:r>
        <w:rPr>
          <w:rFonts w:ascii="Calibri" w:cs="Calibri" w:eastAsia="Calibri" w:hAnsi="Calibri"/>
          <w:b/>
          <w:bCs/>
          <w:color w:val="4A6FA5"/>
        </w:rPr>
        <w:t xml:space="preserve">From sales leadership</w:t>
      </w:r>
    </w:p>
    <w:p>
      <w:pPr>
        <w:pStyle w:val="ListParagraph"/>
        <w:numPr>
          <w:ilvl w:val="0"/>
          <w:numId w:val="3"/>
        </w:numPr>
        <w:spacing w:after="80"/>
      </w:pPr>
      <w:r>
        <w:rPr>
          <w:color w:val="1A1A1A"/>
          <w:sz w:val="22"/>
          <w:szCs w:val="22"/>
        </w:rPr>
        <w:t xml:space="preserve">Top 5 manufacturers by quote volume, with a rough percentage breakdown.</w:t>
      </w:r>
    </w:p>
    <w:p>
      <w:pPr>
        <w:pStyle w:val="ListParagraph"/>
        <w:numPr>
          <w:ilvl w:val="0"/>
          <w:numId w:val="3"/>
        </w:numPr>
        <w:spacing w:after="80"/>
      </w:pPr>
      <w:r>
        <w:rPr>
          <w:color w:val="1A1A1A"/>
          <w:sz w:val="22"/>
          <w:szCs w:val="22"/>
        </w:rPr>
        <w:t xml:space="preserve">List of price-locked customers or customer types (Decision Point 6).</w:t>
      </w:r>
    </w:p>
    <w:p>
      <w:pPr>
        <w:pStyle w:val="ListParagraph"/>
        <w:numPr>
          <w:ilvl w:val="0"/>
          <w:numId w:val="3"/>
        </w:numPr>
        <w:spacing w:after="80"/>
      </w:pPr>
      <w:r>
        <w:rPr>
          <w:color w:val="1A1A1A"/>
          <w:sz w:val="22"/>
          <w:szCs w:val="22"/>
        </w:rPr>
        <w:t xml:space="preserve">Margin floor by product category, if it differs from a single dealership-wide floor.</w:t>
      </w:r>
    </w:p>
    <w:p>
      <w:pPr>
        <w:pStyle w:val="ListParagraph"/>
        <w:numPr>
          <w:ilvl w:val="0"/>
          <w:numId w:val="3"/>
        </w:numPr>
        <w:spacing w:after="80"/>
      </w:pPr>
      <w:r>
        <w:rPr>
          <w:color w:val="1A1A1A"/>
          <w:sz w:val="22"/>
          <w:szCs w:val="22"/>
        </w:rPr>
        <w:t xml:space="preserve">Names of 2–3 reps for the pilot — we recommend your most skeptical reps.</w:t>
      </w:r>
    </w:p>
    <w:p>
      <w:pPr>
        <w:spacing w:after="80"/>
      </w:pPr>
      <w:r>
        <w:t xml:space="preserve"/>
      </w:r>
    </w:p>
    <w:p>
      <w:pPr>
        <w:pStyle w:val="Heading3"/>
      </w:pPr>
      <w:r>
        <w:rPr>
          <w:rFonts w:ascii="Calibri" w:cs="Calibri" w:eastAsia="Calibri" w:hAnsi="Calibri"/>
          <w:b/>
          <w:bCs/>
          <w:color w:val="4A6FA5"/>
        </w:rPr>
        <w:t xml:space="preserve">From operations / parts / pricing</w:t>
      </w:r>
    </w:p>
    <w:p>
      <w:pPr>
        <w:pStyle w:val="ListParagraph"/>
        <w:numPr>
          <w:ilvl w:val="0"/>
          <w:numId w:val="3"/>
        </w:numPr>
        <w:spacing w:after="80"/>
      </w:pPr>
      <w:r>
        <w:rPr>
          <w:color w:val="1A1A1A"/>
          <w:sz w:val="22"/>
          <w:szCs w:val="22"/>
        </w:rPr>
        <w:t xml:space="preserve">Sample price sheets: 3 most recent sheets from each of the top 3 manufacturers, in their original format.</w:t>
      </w:r>
    </w:p>
    <w:p>
      <w:pPr>
        <w:pStyle w:val="ListParagraph"/>
        <w:numPr>
          <w:ilvl w:val="0"/>
          <w:numId w:val="3"/>
        </w:numPr>
        <w:spacing w:after="80"/>
      </w:pPr>
      <w:r>
        <w:rPr>
          <w:color w:val="1A1A1A"/>
          <w:sz w:val="22"/>
          <w:szCs w:val="22"/>
        </w:rPr>
        <w:t xml:space="preserve">The current price-sheet load process: who downloads it, where it gets saved, who updates the ERP, how long that takes today.</w:t>
      </w:r>
    </w:p>
    <w:p>
      <w:pPr>
        <w:pStyle w:val="ListParagraph"/>
        <w:numPr>
          <w:ilvl w:val="0"/>
          <w:numId w:val="3"/>
        </w:numPr>
        <w:spacing w:after="80"/>
      </w:pPr>
      <w:r>
        <w:rPr>
          <w:color w:val="1A1A1A"/>
          <w:sz w:val="22"/>
          <w:szCs w:val="22"/>
        </w:rPr>
        <w:t xml:space="preserve">Freight schedule format: how manufacturers communicate freight changes.</w:t>
      </w:r>
    </w:p>
    <w:p>
      <w:pPr>
        <w:pStyle w:val="ListParagraph"/>
        <w:numPr>
          <w:ilvl w:val="0"/>
          <w:numId w:val="3"/>
        </w:numPr>
        <w:spacing w:after="80"/>
      </w:pPr>
      <w:r>
        <w:rPr>
          <w:color w:val="1A1A1A"/>
          <w:sz w:val="22"/>
          <w:szCs w:val="22"/>
        </w:rPr>
        <w:t xml:space="preserve">Rebate program documents for the top 3 manufacturers (current and one prior version).</w:t>
      </w:r>
    </w:p>
    <w:p>
      <w:pPr>
        <w:pStyle w:val="ListParagraph"/>
        <w:numPr>
          <w:ilvl w:val="0"/>
          <w:numId w:val="3"/>
        </w:numPr>
        <w:spacing w:after="80"/>
      </w:pPr>
      <w:r>
        <w:rPr>
          <w:color w:val="1A1A1A"/>
          <w:sz w:val="22"/>
          <w:szCs w:val="22"/>
        </w:rPr>
        <w:t xml:space="preserve">Confirmation that legal/compliance is OK with storing OEM price data inside QEP OS. Some dealers have NDAs that restrict redistribution.</w:t>
      </w:r>
    </w:p>
    <w:p>
      <w:pPr>
        <w:spacing w:after="80"/>
      </w:pPr>
      <w:r>
        <w:t xml:space="preserve"/>
      </w:r>
    </w:p>
    <w:p>
      <w:pPr>
        <w:pStyle w:val="Heading1"/>
      </w:pPr>
      <w:r>
        <w:rPr>
          <w:rFonts w:ascii="Calibri" w:cs="Calibri" w:eastAsia="Calibri" w:hAnsi="Calibri"/>
          <w:b/>
          <w:bCs/>
          <w:color w:val="1E3A5F"/>
        </w:rPr>
        <w:t xml:space="preserve">6. Risks if we get this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Risk</w:t>
            </w:r>
          </w:p>
        </w:tc>
        <w:tc>
          <w:tcPr>
            <w:tcW w:type="dxa" w:w="5860"/>
            <w:tcBorders>
              <w:top w:val="single" w:color="C8D3E0" w:sz="4"/>
              <w:left w:val="single" w:color="C8D3E0" w:sz="4"/>
              <w:bottom w:val="single" w:color="C8D3E0" w:sz="4"/>
              <w:right w:val="single" w:color="C8D3E0" w:sz="4"/>
            </w:tcBorders>
            <w:shd w:fill="1E3A5F" w:color="auto" w:val="clear"/>
            <w:tcMar>
              <w:top w:type="dxa" w:w="100"/>
              <w:left w:type="dxa" w:w="140"/>
              <w:bottom w:type="dxa" w:w="100"/>
              <w:right w:type="dxa" w:w="140"/>
            </w:tcMar>
            <w:vAlign w:val="top"/>
          </w:tcPr>
          <w:p>
            <w:r>
              <w:rPr>
                <w:b/>
                <w:bCs/>
                <w:color w:val="FFFFFF"/>
                <w:sz w:val="22"/>
                <w:szCs w:val="22"/>
              </w:rPr>
              <w:t xml:space="preserve">Mitigation</w:t>
            </w:r>
          </w:p>
        </w:tc>
      </w:tr>
      <w:tr>
        <w:trPr>
          <w:tblHeader w:val="false"/>
        </w:trPr>
        <w:tc>
          <w:tcPr>
            <w:tcW w:type="dxa" w:w="35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A parser bug ships a bad price — a CSV parsing error mistakes a column, every quote gets re-priced wrong, a customer accepts.</w:t>
            </w:r>
          </w:p>
        </w:tc>
        <w:tc>
          <w:tcPr>
            <w:tcW w:type="dxa" w:w="58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Decision Point 2 (rep review on increases) prevents customer exposure. Every re-price action is reversible from the audit log for 7 days.</w:t>
            </w:r>
          </w:p>
        </w:tc>
      </w:tr>
      <w:tr>
        <w:trPr>
          <w:tblHeader w:val="false"/>
        </w:trPr>
        <w:tc>
          <w:tcPr>
            <w:tcW w:type="dxa" w:w="35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Rep ignores the alert.</w:t>
            </w:r>
          </w:p>
        </w:tc>
        <w:tc>
          <w:tcPr>
            <w:tcW w:type="dxa" w:w="58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The chip appears prominently on Today; if dismissed without action, the system escalates to the rep’s manager after 48h on quotes over $50K.</w:t>
            </w:r>
          </w:p>
        </w:tc>
      </w:tr>
      <w:tr>
        <w:trPr>
          <w:tblHeader w:val="false"/>
        </w:trPr>
        <w:tc>
          <w:tcPr>
            <w:tcW w:type="dxa" w:w="35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Customer trust damage — “Your quote went up because the manufacturer changed prices” feels like bait-and-switch.</w:t>
            </w:r>
          </w:p>
        </w:tc>
        <w:tc>
          <w:tcPr>
            <w:tcW w:type="dxa" w:w="58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Decision Point 2: customer never sees an increase without rep eyes on it. Customer-facing email template explains the change without throwing the manufacturer under the bus.</w:t>
            </w:r>
          </w:p>
        </w:tc>
      </w:tr>
      <w:tr>
        <w:trPr>
          <w:tblHeader w:val="false"/>
        </w:trPr>
        <w:tc>
          <w:tcPr>
            <w:tcW w:type="dxa" w:w="35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Reps lose pricing autonomy and resent the system.</w:t>
            </w:r>
          </w:p>
        </w:tc>
        <w:tc>
          <w:tcPr>
            <w:tcW w:type="dxa" w:w="58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Phase 1 re-pricing is rep-initiated. Commission impact is transparent (Decision Point 10).</w:t>
            </w:r>
          </w:p>
        </w:tc>
      </w:tr>
      <w:tr>
        <w:trPr>
          <w:tblHeader w:val="false"/>
        </w:trPr>
        <w:tc>
          <w:tcPr>
            <w:tcW w:type="dxa" w:w="350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Manufacturer NDA violation.</w:t>
            </w:r>
          </w:p>
        </w:tc>
        <w:tc>
          <w:tcPr>
            <w:tcW w:type="dxa" w:w="5860"/>
            <w:tcBorders>
              <w:top w:val="single" w:color="C8D3E0" w:sz="4"/>
              <w:left w:val="single" w:color="C8D3E0" w:sz="4"/>
              <w:bottom w:val="single" w:color="C8D3E0" w:sz="4"/>
              <w:right w:val="single" w:color="C8D3E0" w:sz="4"/>
            </w:tcBorders>
            <w:tcMar>
              <w:top w:type="dxa" w:w="100"/>
              <w:left w:type="dxa" w:w="140"/>
              <w:bottom w:type="dxa" w:w="100"/>
              <w:right w:type="dxa" w:w="140"/>
            </w:tcMar>
            <w:vAlign w:val="top"/>
          </w:tcPr>
          <w:p>
            <w:r>
              <w:rPr>
                <w:b w:val="false"/>
                <w:bCs w:val="false"/>
                <w:color w:val="1A1A1A"/>
                <w:sz w:val="22"/>
                <w:szCs w:val="22"/>
              </w:rPr>
              <w:t xml:space="preserve">Section 5 includes a legal check. We will not load any OEM sheet whose agreement we have not confirmed allows it.</w:t>
            </w:r>
          </w:p>
        </w:tc>
      </w:tr>
      <w:tr>
        <w:trPr>
          <w:tblHeader w:val="false"/>
        </w:trPr>
        <w:tc>
          <w:tcPr>
            <w:tcW w:type="dxa" w:w="350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Spam fatigue — too many low-impact notifications, reps tune out.</w:t>
            </w:r>
          </w:p>
        </w:tc>
        <w:tc>
          <w:tcPr>
            <w:tcW w:type="dxa" w:w="5860"/>
            <w:tcBorders>
              <w:top w:val="single" w:color="C8D3E0" w:sz="4"/>
              <w:left w:val="single" w:color="C8D3E0" w:sz="4"/>
              <w:bottom w:val="single" w:color="C8D3E0" w:sz="4"/>
              <w:right w:val="single" w:color="C8D3E0" w:sz="4"/>
            </w:tcBorders>
            <w:shd w:fill="F2F5F9" w:color="auto" w:val="clear"/>
            <w:tcMar>
              <w:top w:type="dxa" w:w="100"/>
              <w:left w:type="dxa" w:w="140"/>
              <w:bottom w:type="dxa" w:w="100"/>
              <w:right w:type="dxa" w:w="140"/>
            </w:tcMar>
            <w:vAlign w:val="top"/>
          </w:tcPr>
          <w:p>
            <w:r>
              <w:rPr>
                <w:b w:val="false"/>
                <w:bCs w:val="false"/>
                <w:color w:val="1A1A1A"/>
                <w:sz w:val="22"/>
                <w:szCs w:val="22"/>
              </w:rPr>
              <w:t xml:space="preserve">Decision Point 5 sets the noise floor. A single manufacturer cannot generate more than one notification per rep per 24h regardless of how many sheets they post.</w:t>
            </w:r>
          </w:p>
        </w:tc>
      </w:tr>
    </w:tbl>
    <w:p>
      <w:pPr>
        <w:pStyle w:val="Heading1"/>
      </w:pPr>
      <w:r>
        <w:rPr>
          <w:rFonts w:ascii="Calibri" w:cs="Calibri" w:eastAsia="Calibri" w:hAnsi="Calibri"/>
          <w:b/>
          <w:bCs/>
          <w:color w:val="1E3A5F"/>
        </w:rPr>
        <w:t xml:space="preserve">7. What success looks like</w:t>
      </w:r>
    </w:p>
    <w:p>
      <w:pPr>
        <w:spacing w:after="120"/>
      </w:pPr>
      <w:r>
        <w:rPr>
          <w:color w:val="1A1A1A"/>
          <w:sz w:val="22"/>
          <w:szCs w:val="22"/>
        </w:rPr>
        <w:t xml:space="preserve">Phase 1 is working if, 90 days after launch:</w:t>
      </w:r>
    </w:p>
    <w:p>
      <w:pPr>
        <w:pStyle w:val="ListParagraph"/>
        <w:numPr>
          <w:ilvl w:val="0"/>
          <w:numId w:val="3"/>
        </w:numPr>
        <w:spacing w:after="80"/>
      </w:pPr>
      <w:r>
        <w:rPr>
          <w:color w:val="1A1A1A"/>
          <w:sz w:val="22"/>
          <w:szCs w:val="22"/>
        </w:rPr>
        <w:t xml:space="preserve">At least 70% of impact alerts are acted on (re-priced or explicitly dismissed with a reason) within 48 hours.</w:t>
      </w:r>
    </w:p>
    <w:p>
      <w:pPr>
        <w:pStyle w:val="ListParagraph"/>
        <w:numPr>
          <w:ilvl w:val="0"/>
          <w:numId w:val="3"/>
        </w:numPr>
        <w:spacing w:after="80"/>
      </w:pPr>
      <w:r>
        <w:rPr>
          <w:color w:val="1A1A1A"/>
          <w:sz w:val="22"/>
          <w:szCs w:val="22"/>
        </w:rPr>
        <w:t xml:space="preserve">Average margin recovery per re-pricing event is positive.</w:t>
      </w:r>
    </w:p>
    <w:p>
      <w:pPr>
        <w:pStyle w:val="ListParagraph"/>
        <w:numPr>
          <w:ilvl w:val="0"/>
          <w:numId w:val="3"/>
        </w:numPr>
        <w:spacing w:after="80"/>
      </w:pPr>
      <w:r>
        <w:rPr>
          <w:color w:val="1A1A1A"/>
          <w:sz w:val="22"/>
          <w:szCs w:val="22"/>
        </w:rPr>
        <w:t xml:space="preserve">Zero customer complaints traceable to a system-generated re-price.</w:t>
      </w:r>
    </w:p>
    <w:p>
      <w:pPr>
        <w:pStyle w:val="ListParagraph"/>
        <w:numPr>
          <w:ilvl w:val="0"/>
          <w:numId w:val="3"/>
        </w:numPr>
        <w:spacing w:after="80"/>
      </w:pPr>
      <w:r>
        <w:rPr>
          <w:color w:val="1A1A1A"/>
          <w:sz w:val="22"/>
          <w:szCs w:val="22"/>
        </w:rPr>
        <w:t xml:space="preserve">Reps in the pilot opt to keep the feature.</w:t>
      </w:r>
    </w:p>
    <w:p>
      <w:pPr>
        <w:pStyle w:val="ListParagraph"/>
        <w:numPr>
          <w:ilvl w:val="0"/>
          <w:numId w:val="3"/>
        </w:numPr>
        <w:spacing w:after="80"/>
      </w:pPr>
      <w:r>
        <w:rPr>
          <w:color w:val="1A1A1A"/>
          <w:sz w:val="22"/>
          <w:szCs w:val="22"/>
        </w:rPr>
        <w:t xml:space="preserve">At least one dealership-wide “saved” number: “OEM Price Feeds protected $X in margin this quarter.”</w:t>
      </w:r>
    </w:p>
    <w:p>
      <w:pPr>
        <w:pStyle w:val="Heading1"/>
      </w:pPr>
      <w:r>
        <w:rPr>
          <w:rFonts w:ascii="Calibri" w:cs="Calibri" w:eastAsia="Calibri" w:hAnsi="Calibri"/>
          <w:b/>
          <w:bCs/>
          <w:color w:val="1E3A5F"/>
        </w:rPr>
        <w:t xml:space="preserve">8. Open questions we expect you to push back on</w:t>
      </w:r>
    </w:p>
    <w:p>
      <w:pPr>
        <w:pStyle w:val="ListParagraph"/>
        <w:numPr>
          <w:ilvl w:val="0"/>
          <w:numId w:val="2"/>
        </w:numPr>
        <w:spacing w:after="80"/>
      </w:pPr>
      <w:r>
        <w:rPr>
          <w:color w:val="1A1A1A"/>
          <w:sz w:val="22"/>
          <w:szCs w:val="22"/>
        </w:rPr>
        <w:t xml:space="preserve">Who in your org owns the manufacturer relationship when a parser breaks? When Manitowoc redesigns their price-sheet PDF, who escalates to the OEM rep vs. who patches it on our side?</w:t>
      </w:r>
    </w:p>
    <w:p>
      <w:pPr>
        <w:pStyle w:val="ListParagraph"/>
        <w:numPr>
          <w:ilvl w:val="0"/>
          <w:numId w:val="2"/>
        </w:numPr>
        <w:spacing w:after="80"/>
      </w:pPr>
      <w:r>
        <w:rPr>
          <w:color w:val="1A1A1A"/>
          <w:sz w:val="22"/>
          <w:szCs w:val="22"/>
        </w:rPr>
        <w:t xml:space="preserve">Is there a quarterly business review with each manufacturer where price changes are previewed? If so, we should capture that signal too — predictive, not just reactive.</w:t>
      </w:r>
    </w:p>
    <w:p>
      <w:pPr>
        <w:pStyle w:val="ListParagraph"/>
        <w:numPr>
          <w:ilvl w:val="0"/>
          <w:numId w:val="2"/>
        </w:numPr>
        <w:spacing w:after="80"/>
      </w:pPr>
      <w:r>
        <w:rPr>
          <w:color w:val="1A1A1A"/>
          <w:sz w:val="22"/>
          <w:szCs w:val="22"/>
        </w:rPr>
        <w:t xml:space="preserve">Do you want the system to learn rep behavior? If Rep A always rejects re-prices on quotes for “Customer X,” should the system stop suggesting them?</w:t>
      </w:r>
    </w:p>
    <w:p>
      <w:pPr>
        <w:pStyle w:val="ListParagraph"/>
        <w:numPr>
          <w:ilvl w:val="0"/>
          <w:numId w:val="2"/>
        </w:numPr>
        <w:spacing w:after="80"/>
      </w:pPr>
      <w:r>
        <w:rPr>
          <w:color w:val="1A1A1A"/>
          <w:sz w:val="22"/>
          <w:szCs w:val="22"/>
        </w:rPr>
        <w:t xml:space="preserve">What is your honest read on adoption? Is there a rep on your team who will actively work around this because they make money on the margin gap? We need to know before we pilot, not after.</w:t>
      </w:r>
    </w:p>
    <w:p>
      <w:pPr>
        <w:pStyle w:val="Heading1"/>
      </w:pPr>
      <w:r>
        <w:rPr>
          <w:rFonts w:ascii="Calibri" w:cs="Calibri" w:eastAsia="Calibri" w:hAnsi="Calibri"/>
          <w:b/>
          <w:bCs/>
          <w:color w:val="1E3A5F"/>
        </w:rPr>
        <w:t xml:space="preserve">9. Returning your answers</w:t>
      </w:r>
    </w:p>
    <w:p>
      <w:pPr>
        <w:spacing w:after="120"/>
      </w:pPr>
      <w:r>
        <w:rPr>
          <w:color w:val="1A1A1A"/>
          <w:sz w:val="22"/>
          <w:szCs w:val="22"/>
        </w:rPr>
        <w:t xml:space="preserve">Reply by email, send a marked-up copy of this document, or schedule a 30-minute review with engineering. Anything left blank defaults to the recommended starting point with an “owner-deferred” flag in the system; you can override at any time.</w:t>
      </w:r>
    </w:p>
    <w:p>
      <w:pPr>
        <w:pStyle w:val="Heading1"/>
      </w:pPr>
      <w:r>
        <w:rPr>
          <w:rFonts w:ascii="Calibri" w:cs="Calibri" w:eastAsia="Calibri" w:hAnsi="Calibri"/>
          <w:b/>
          <w:bCs/>
          <w:color w:val="1E3A5F"/>
        </w:rPr>
        <w:t xml:space="preserve">Glossary</w:t>
      </w:r>
    </w:p>
    <w:p>
      <w:pPr>
        <w:pStyle w:val="ListParagraph"/>
        <w:numPr>
          <w:ilvl w:val="0"/>
          <w:numId w:val="3"/>
        </w:numPr>
        <w:spacing w:after="80"/>
      </w:pPr>
      <w:r>
        <w:rPr>
          <w:b/>
          <w:bCs/>
          <w:color w:val="1A1A1A"/>
          <w:sz w:val="22"/>
          <w:szCs w:val="22"/>
        </w:rPr>
        <w:t xml:space="preserve">OEM (Original Equipment Manufacturer) </w:t>
      </w:r>
      <w:r>
        <w:rPr>
          <w:color w:val="1A1A1A"/>
          <w:sz w:val="22"/>
          <w:szCs w:val="22"/>
        </w:rPr>
        <w:t xml:space="preserve">— the companies whose equipment you sell or rent (Manitowoc, Komatsu, Kubota, etc.).</w:t>
      </w:r>
    </w:p>
    <w:p>
      <w:pPr>
        <w:pStyle w:val="ListParagraph"/>
        <w:numPr>
          <w:ilvl w:val="0"/>
          <w:numId w:val="3"/>
        </w:numPr>
        <w:spacing w:after="80"/>
      </w:pPr>
      <w:r>
        <w:rPr>
          <w:b/>
          <w:bCs/>
          <w:color w:val="1A1A1A"/>
          <w:sz w:val="22"/>
          <w:szCs w:val="22"/>
        </w:rPr>
        <w:t xml:space="preserve">List price </w:t>
      </w:r>
      <w:r>
        <w:rPr>
          <w:color w:val="1A1A1A"/>
          <w:sz w:val="22"/>
          <w:szCs w:val="22"/>
        </w:rPr>
        <w:t xml:space="preserve">— the manufacturer’s published price before any dealer discount.</w:t>
      </w:r>
    </w:p>
    <w:p>
      <w:pPr>
        <w:pStyle w:val="ListParagraph"/>
        <w:numPr>
          <w:ilvl w:val="0"/>
          <w:numId w:val="3"/>
        </w:numPr>
        <w:spacing w:after="80"/>
      </w:pPr>
      <w:r>
        <w:rPr>
          <w:b/>
          <w:bCs/>
          <w:color w:val="1A1A1A"/>
          <w:sz w:val="22"/>
          <w:szCs w:val="22"/>
        </w:rPr>
        <w:t xml:space="preserve">Margin floor </w:t>
      </w:r>
      <w:r>
        <w:rPr>
          <w:color w:val="1A1A1A"/>
          <w:sz w:val="22"/>
          <w:szCs w:val="22"/>
        </w:rPr>
        <w:t xml:space="preserve">— the minimum margin percentage a quote can carry before requiring manager approval.</w:t>
      </w:r>
    </w:p>
    <w:p>
      <w:pPr>
        <w:pStyle w:val="ListParagraph"/>
        <w:numPr>
          <w:ilvl w:val="0"/>
          <w:numId w:val="3"/>
        </w:numPr>
        <w:spacing w:after="80"/>
      </w:pPr>
      <w:r>
        <w:rPr>
          <w:b/>
          <w:bCs/>
          <w:color w:val="1A1A1A"/>
          <w:sz w:val="22"/>
          <w:szCs w:val="22"/>
        </w:rPr>
        <w:t xml:space="preserve">Rebate stack </w:t>
      </w:r>
      <w:r>
        <w:rPr>
          <w:color w:val="1A1A1A"/>
          <w:sz w:val="22"/>
          <w:szCs w:val="22"/>
        </w:rPr>
        <w:t xml:space="preserve">— layered incentives from the manufacturer that reduce dealer cost; can include volume, co-op, spiff, and program components.</w:t>
      </w:r>
    </w:p>
    <w:p>
      <w:pPr>
        <w:pStyle w:val="ListParagraph"/>
        <w:numPr>
          <w:ilvl w:val="0"/>
          <w:numId w:val="3"/>
        </w:numPr>
        <w:spacing w:after="80"/>
      </w:pPr>
      <w:r>
        <w:rPr>
          <w:b/>
          <w:bCs/>
          <w:color w:val="1A1A1A"/>
          <w:sz w:val="22"/>
          <w:szCs w:val="22"/>
        </w:rPr>
        <w:t xml:space="preserve">Pricing protection window </w:t>
      </w:r>
      <w:r>
        <w:rPr>
          <w:color w:val="1A1A1A"/>
          <w:sz w:val="22"/>
          <w:szCs w:val="22"/>
        </w:rPr>
        <w:t xml:space="preserve">— a grace period some manufacturers grant where quotes dated before a price change can still honor the old price.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8"/>
        <w:szCs w:val="18"/>
      </w:rPr>
      <w:t xml:space="preserve">QEP OS Discovery  •  Page </w:t>
    </w:r>
    <w:r>
      <w:rPr>
        <w:color w:val="5C6B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8"/>
        <w:szCs w:val="18"/>
      </w:rPr>
      <w:t xml:space="preserve">OEM Price Feeds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OEM Price Feeds</dc:title>
  <dc:creator>QEP OS Engineering</dc:creator>
  <dc:description>QEP OS owner &amp; management discovery document</dc:description>
  <cp:lastModifiedBy>Un-named</cp:lastModifiedBy>
  <cp:revision>1</cp:revision>
  <dcterms:created xsi:type="dcterms:W3CDTF">2026-05-18T01:47:46.747Z</dcterms:created>
  <dcterms:modified xsi:type="dcterms:W3CDTF">2026-05-18T01:47:46.747Z</dcterms:modified>
</cp:coreProperties>
</file>

<file path=docProps/custom.xml><?xml version="1.0" encoding="utf-8"?>
<Properties xmlns="http://schemas.openxmlformats.org/officeDocument/2006/custom-properties" xmlns:vt="http://schemas.openxmlformats.org/officeDocument/2006/docPropsVTypes"/>
</file>